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eastAsia="黑体"/>
          <w:color w:val="000000"/>
          <w:sz w:val="28"/>
          <w:szCs w:val="32"/>
        </w:rPr>
      </w:pPr>
      <w:r>
        <w:rPr>
          <w:rFonts w:hint="eastAsia" w:ascii="黑体" w:eastAsia="黑体"/>
          <w:color w:val="000000"/>
          <w:sz w:val="28"/>
          <w:szCs w:val="32"/>
        </w:rPr>
        <w:t>附件</w:t>
      </w:r>
      <w:r>
        <w:rPr>
          <w:rFonts w:ascii="黑体" w:eastAsia="黑体"/>
          <w:color w:val="000000"/>
          <w:sz w:val="28"/>
          <w:szCs w:val="32"/>
        </w:rPr>
        <w:t>1</w:t>
      </w:r>
      <w:r>
        <w:rPr>
          <w:rFonts w:hint="eastAsia" w:ascii="黑体" w:eastAsia="黑体"/>
          <w:color w:val="000000"/>
          <w:sz w:val="28"/>
          <w:szCs w:val="32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color="auto" w:fill="FFFFFF"/>
        </w:rPr>
        <w:t>中国地质大学（武汉）学生党支部书记2020年网络培训课程表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24"/>
          <w:shd w:val="clear" w:color="auto" w:fill="FFFFFF"/>
        </w:rPr>
      </w:pPr>
    </w:p>
    <w:tbl>
      <w:tblPr>
        <w:tblStyle w:val="3"/>
        <w:tblW w:w="10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3964"/>
        <w:gridCol w:w="1086"/>
        <w:gridCol w:w="4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5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5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-94" w:leftChars="-45" w:right="-101" w:rightChars="-4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习近平新时代中国特色社会主义思想</w:t>
            </w: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深刻理解习近平总书记关于“不忘初心、牢记使命”的重要论述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石国亮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习近平新时代中国特色社会主义思想</w:t>
            </w:r>
          </w:p>
        </w:tc>
        <w:tc>
          <w:tcPr>
            <w:tcW w:w="10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秦刚</w:t>
            </w:r>
          </w:p>
        </w:tc>
        <w:tc>
          <w:tcPr>
            <w:tcW w:w="409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以习近平新时代中国特色社会主义思想为指引 写好高校党建和思政工作“奋进之笔”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王光彦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教育部直属机关党委常务副书记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习近平总书记关于高校党建和思想政治工作的重要论述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乔志强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湖北省委高校工委组织处处长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学习习近平总书记系列讲话精神，全面推动思想政治教育创新发展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万美容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华中师范大学马克思主义学院院长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5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党章党规学习</w:t>
            </w: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深入学习十九大党章修正案，坚持制度治党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孙熙国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北京大学马克思主义学院执行院长、教授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新时代全面加强党的政治建设——《中共中央关于加强党的政治建设的意见》解读</w:t>
            </w:r>
          </w:p>
        </w:tc>
        <w:tc>
          <w:tcPr>
            <w:tcW w:w="1086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陈冬生</w:t>
            </w:r>
          </w:p>
        </w:tc>
        <w:tc>
          <w:tcPr>
            <w:tcW w:w="409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中共中央党校（国家行政学院）马克思主义学院国外马克思主义教研室主任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《中国共产党支部工作条例（试行）》解读</w:t>
            </w:r>
          </w:p>
        </w:tc>
        <w:tc>
          <w:tcPr>
            <w:tcW w:w="1086" w:type="dxa"/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陈凯龙</w:t>
            </w:r>
          </w:p>
        </w:tc>
        <w:tc>
          <w:tcPr>
            <w:tcW w:w="4090" w:type="dxa"/>
            <w:shd w:val="clear" w:color="000000" w:fill="FFFFFF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《中国共产党发展党员工作细则》解读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  林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中共中央党校党的建设教研部讲师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基层党建工作实务</w:t>
            </w: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关于高校基层党组织建设的思考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张润枝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北京师范大学马克思主义学院（政治学与国际关系学院）党委书记，教授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高校学生党支部的角色定位和工作艺术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廖志丹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厦门大学党委组织部副部长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如何做好学生党支部书记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乔婧芳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浙江工业大学化学工程学院精细化工党支部书记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对标争先——用“五个创新”提升“五种能力”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袁  婧</w:t>
            </w:r>
          </w:p>
        </w:tc>
        <w:tc>
          <w:tcPr>
            <w:tcW w:w="4090" w:type="dxa"/>
            <w:shd w:val="clear" w:color="auto" w:fill="auto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天津师范大学生命科学学院学工办主任、本科生第一党支部书记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5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396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409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55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样板支部党建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工作创新案例</w:t>
            </w: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坚实战斗堡垒，培育时代党员——基层党支部建设思路及实例解析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  媛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南开大学哲学院党委副书记、副院长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河北大学政法学院研究生党支部建设思考与探索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林顺利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河北大学政法学院研究生第二党支部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激发党肌体的“神经末梢”——高校学生党支部建设的思考与探索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常雅慧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西北大学生命科学学院“筑梦先锋”本科生党支部书记、辅导员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94" w:leftChars="-45" w:right="-101" w:rightChars="-48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71" w:leftChars="-34" w:right="-63" w:rightChars="-3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对标争先——用“五个创新”提升“五种能力”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left="-55" w:leftChars="-26" w:right="-48" w:rightChars="-23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  婧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55" w:leftChars="-26" w:right="-31" w:rightChars="-15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天津师范大学生命科学学院本科生第一党支部书记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8" w:type="dxa"/>
            <w:vMerge w:val="restart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领导力建设与人文素养</w:t>
            </w: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ind w:left="-50" w:leftChars="-24" w:right="-48" w:rightChars="-23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领导力与团队建设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刘旭涛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国家行政学院公共管理教研部副主任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ind w:left="-50" w:leftChars="-24" w:right="-48" w:rightChars="-23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危机决策与危机领导力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 峰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清华大学应急管理研究基地副主任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领导干部的语言表达艺术——精神状态与语言修养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郭海燕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首都师范大学青年教育艺术研究所所长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58" w:type="dxa"/>
            <w:vMerge w:val="continue"/>
            <w:shd w:val="clear" w:color="auto" w:fill="auto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压力管理与心理健康促进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樊富珉</w:t>
            </w:r>
          </w:p>
        </w:tc>
        <w:tc>
          <w:tcPr>
            <w:tcW w:w="4090" w:type="dxa"/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清华大学社会科学学院心理学系副主任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rPr>
          <w:rFonts w:hint="eastAsia" w:ascii="黑体" w:eastAsia="黑体"/>
          <w:color w:val="000000"/>
          <w:sz w:val="28"/>
          <w:szCs w:val="32"/>
        </w:rPr>
      </w:pPr>
    </w:p>
    <w:p>
      <w:pPr>
        <w:spacing w:line="360" w:lineRule="auto"/>
        <w:jc w:val="left"/>
        <w:rPr>
          <w:rFonts w:hint="eastAsia" w:ascii="黑体" w:eastAsia="黑体"/>
          <w:color w:val="000000"/>
          <w:sz w:val="28"/>
          <w:szCs w:val="32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说</w:t>
      </w:r>
      <w:r>
        <w:rPr>
          <w:rFonts w:ascii="仿宋_GB2312" w:hAnsi="宋体" w:eastAsia="仿宋_GB2312"/>
          <w:color w:val="000000"/>
          <w:sz w:val="28"/>
          <w:szCs w:val="28"/>
        </w:rPr>
        <w:t>明：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个别课</w:t>
      </w:r>
      <w:r>
        <w:rPr>
          <w:rFonts w:ascii="仿宋_GB2312" w:hAnsi="宋体" w:eastAsia="仿宋_GB2312"/>
          <w:color w:val="000000"/>
          <w:sz w:val="28"/>
          <w:szCs w:val="28"/>
        </w:rPr>
        <w:t>程或稍有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调</w:t>
      </w:r>
      <w:r>
        <w:rPr>
          <w:rFonts w:ascii="仿宋_GB2312" w:hAnsi="宋体" w:eastAsia="仿宋_GB2312"/>
          <w:color w:val="000000"/>
          <w:sz w:val="28"/>
          <w:szCs w:val="28"/>
        </w:rPr>
        <w:t>整，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请</w:t>
      </w:r>
      <w:r>
        <w:rPr>
          <w:rFonts w:ascii="仿宋_GB2312" w:hAnsi="宋体" w:eastAsia="仿宋_GB2312"/>
          <w:color w:val="000000"/>
          <w:sz w:val="28"/>
          <w:szCs w:val="28"/>
        </w:rPr>
        <w:t>以平台最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终发</w:t>
      </w:r>
      <w:r>
        <w:rPr>
          <w:rFonts w:ascii="仿宋_GB2312" w:hAnsi="宋体" w:eastAsia="仿宋_GB2312"/>
          <w:color w:val="000000"/>
          <w:sz w:val="28"/>
          <w:szCs w:val="28"/>
        </w:rPr>
        <w:t>布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课</w:t>
      </w:r>
      <w:r>
        <w:rPr>
          <w:rFonts w:ascii="仿宋_GB2312" w:hAnsi="宋体" w:eastAsia="仿宋_GB2312"/>
          <w:color w:val="000000"/>
          <w:sz w:val="28"/>
          <w:szCs w:val="28"/>
        </w:rPr>
        <w:t>程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为</w:t>
      </w:r>
      <w:r>
        <w:rPr>
          <w:rFonts w:ascii="仿宋_GB2312" w:hAnsi="宋体" w:eastAsia="仿宋_GB2312"/>
          <w:color w:val="000000"/>
          <w:sz w:val="28"/>
          <w:szCs w:val="28"/>
        </w:rPr>
        <w:t>准。</w:t>
      </w:r>
    </w:p>
    <w:p>
      <w:pPr>
        <w:adjustRightInd w:val="0"/>
        <w:snapToGrid w:val="0"/>
        <w:spacing w:before="156" w:beforeLines="50"/>
        <w:jc w:val="left"/>
        <w:rPr>
          <w:rFonts w:hint="eastAsia" w:ascii="黑体" w:eastAsia="黑体"/>
          <w:color w:val="000000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2020-04-07T02:29:55Z</dcterms:created>
  <dc:creator>liuqing</dc:creator>
  <cp:lastModifiedBy>liuqing</cp:lastModifiedBy>
  <dcterms:modified xsi:type="dcterms:W3CDTF">2020-04-07T02:30:16Z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