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color w:val="000000"/>
          <w:sz w:val="32"/>
          <w:szCs w:val="32"/>
        </w:rPr>
      </w:pPr>
      <w:r>
        <w:rPr>
          <w:rFonts w:hint="eastAsia" w:ascii="黑体" w:hAnsi="黑体" w:eastAsia="黑体" w:cs="黑体"/>
          <w:bCs/>
          <w:color w:val="000000"/>
          <w:sz w:val="32"/>
          <w:szCs w:val="32"/>
        </w:rPr>
        <w:t>附件1</w:t>
      </w:r>
    </w:p>
    <w:p>
      <w:pPr>
        <w:spacing w:line="360" w:lineRule="auto"/>
        <w:ind w:left="486" w:right="150" w:rightChars="50" w:hanging="486" w:hangingChars="152"/>
        <w:jc w:val="center"/>
        <w:rPr>
          <w:rFonts w:eastAsia="黑体"/>
          <w:bCs/>
          <w:color w:val="000000"/>
          <w:sz w:val="32"/>
          <w:szCs w:val="32"/>
        </w:rPr>
      </w:pPr>
      <w:r>
        <w:rPr>
          <w:rFonts w:hint="eastAsia" w:eastAsia="黑体"/>
          <w:bCs/>
          <w:color w:val="000000"/>
          <w:sz w:val="32"/>
          <w:szCs w:val="32"/>
        </w:rPr>
        <w:t>网络培训必修课程列表</w:t>
      </w:r>
    </w:p>
    <w:p>
      <w:pPr>
        <w:spacing w:line="360" w:lineRule="auto"/>
        <w:jc w:val="center"/>
        <w:rPr>
          <w:rFonts w:eastAsia="黑体"/>
          <w:bCs/>
          <w:color w:val="000000"/>
          <w:szCs w:val="30"/>
        </w:rPr>
      </w:pPr>
      <w:r>
        <w:rPr>
          <w:rFonts w:hint="eastAsia" w:eastAsia="黑体"/>
          <w:bCs/>
          <w:color w:val="000000"/>
          <w:szCs w:val="30"/>
        </w:rPr>
        <w:t>大学生</w:t>
      </w:r>
      <w:r>
        <w:rPr>
          <w:rFonts w:eastAsia="黑体"/>
          <w:bCs/>
          <w:color w:val="000000"/>
          <w:szCs w:val="30"/>
        </w:rPr>
        <w:t>入党积极分子</w:t>
      </w: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eastAsia="仿宋"/>
                <w:b/>
                <w:bCs/>
                <w:color w:val="000000"/>
                <w:sz w:val="24"/>
                <w:szCs w:val="24"/>
              </w:rPr>
            </w:pPr>
            <w:r>
              <w:rPr>
                <w:rFonts w:eastAsia="仿宋"/>
                <w:b/>
                <w:bCs/>
                <w:color w:val="000000"/>
                <w:sz w:val="24"/>
                <w:szCs w:val="24"/>
              </w:rPr>
              <w:t>课程</w:t>
            </w:r>
          </w:p>
          <w:p>
            <w:pPr>
              <w:jc w:val="center"/>
              <w:rPr>
                <w:rFonts w:eastAsia="仿宋"/>
                <w:color w:val="000000" w:themeColor="text1"/>
                <w:sz w:val="24"/>
                <w:szCs w:val="24"/>
                <w14:textFill>
                  <w14:solidFill>
                    <w14:schemeClr w14:val="tx1"/>
                  </w14:solidFill>
                </w14:textFill>
              </w:rPr>
            </w:pPr>
            <w:r>
              <w:rPr>
                <w:rFonts w:eastAsia="仿宋"/>
                <w:b/>
                <w:bCs/>
                <w:color w:val="000000"/>
                <w:sz w:val="24"/>
                <w:szCs w:val="24"/>
              </w:rPr>
              <w:t>模块</w:t>
            </w:r>
          </w:p>
        </w:tc>
        <w:tc>
          <w:tcPr>
            <w:tcW w:w="4320" w:type="dxa"/>
            <w:vAlign w:val="center"/>
          </w:tcPr>
          <w:p>
            <w:pPr>
              <w:jc w:val="center"/>
              <w:rPr>
                <w:rFonts w:eastAsia="仿宋"/>
                <w:color w:val="000000" w:themeColor="text1"/>
                <w:sz w:val="24"/>
                <w:szCs w:val="24"/>
                <w14:textFill>
                  <w14:solidFill>
                    <w14:schemeClr w14:val="tx1"/>
                  </w14:solidFill>
                </w14:textFill>
              </w:rPr>
            </w:pPr>
            <w:r>
              <w:rPr>
                <w:rFonts w:eastAsia="仿宋"/>
                <w:b/>
                <w:bCs/>
                <w:color w:val="000000"/>
                <w:sz w:val="24"/>
                <w:szCs w:val="24"/>
              </w:rPr>
              <w:t>课程名称</w:t>
            </w:r>
          </w:p>
        </w:tc>
        <w:tc>
          <w:tcPr>
            <w:tcW w:w="941" w:type="dxa"/>
            <w:vAlign w:val="center"/>
          </w:tcPr>
          <w:p>
            <w:pPr>
              <w:jc w:val="center"/>
              <w:rPr>
                <w:rFonts w:eastAsia="仿宋"/>
                <w:color w:val="000000" w:themeColor="text1"/>
                <w:sz w:val="24"/>
                <w:szCs w:val="24"/>
                <w14:textFill>
                  <w14:solidFill>
                    <w14:schemeClr w14:val="tx1"/>
                  </w14:solidFill>
                </w14:textFill>
              </w:rPr>
            </w:pPr>
            <w:r>
              <w:rPr>
                <w:rFonts w:eastAsia="仿宋"/>
                <w:b/>
                <w:bCs/>
                <w:color w:val="000000"/>
                <w:sz w:val="24"/>
                <w:szCs w:val="24"/>
              </w:rPr>
              <w:t>主讲人</w:t>
            </w:r>
          </w:p>
        </w:tc>
        <w:tc>
          <w:tcPr>
            <w:tcW w:w="2518" w:type="dxa"/>
            <w:vAlign w:val="center"/>
          </w:tcPr>
          <w:p>
            <w:pPr>
              <w:jc w:val="center"/>
              <w:rPr>
                <w:rFonts w:eastAsia="仿宋"/>
                <w:color w:val="000000" w:themeColor="text1"/>
                <w:sz w:val="24"/>
                <w:szCs w:val="24"/>
                <w14:textFill>
                  <w14:solidFill>
                    <w14:schemeClr w14:val="tx1"/>
                  </w14:solidFill>
                </w14:textFill>
              </w:rPr>
            </w:pPr>
            <w:r>
              <w:rPr>
                <w:rFonts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shd w:val="clear" w:color="auto" w:fill="auto"/>
            <w:vAlign w:val="center"/>
          </w:tcPr>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习近平</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新时代</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中国</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特色</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社会</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主义</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思想</w:t>
            </w: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学习领会党的十九届四中全会精神</w:t>
            </w:r>
          </w:p>
        </w:tc>
        <w:tc>
          <w:tcPr>
            <w:tcW w:w="941"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颜晓峰</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widowControl/>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习近平新时代中国特色社会主义思想</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秦  刚</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新时代，开放的中国与世界共赢</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李成钢</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商务部部长助理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widowControl/>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建设世界科技强国——学习领会习近平总书记关于科技创新的重要论述</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万劲波</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中国科学院科技战略咨询研究院研究员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widowControl/>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坚持中国共产党领导的制度优势</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陈志刚</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中国社科院马克思主义研究院研究员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jc w:val="center"/>
              <w:rPr>
                <w:rFonts w:eastAsia="仿宋"/>
                <w:sz w:val="24"/>
                <w:szCs w:val="24"/>
              </w:rPr>
            </w:pPr>
            <w:r>
              <w:rPr>
                <w:rFonts w:hint="eastAsia" w:eastAsia="仿宋"/>
                <w:sz w:val="24"/>
                <w:szCs w:val="24"/>
              </w:rPr>
              <w:t>党的</w:t>
            </w:r>
          </w:p>
          <w:p>
            <w:pPr>
              <w:jc w:val="center"/>
              <w:rPr>
                <w:rFonts w:eastAsia="仿宋"/>
                <w:sz w:val="24"/>
                <w:szCs w:val="24"/>
              </w:rPr>
            </w:pPr>
            <w:r>
              <w:rPr>
                <w:rFonts w:hint="eastAsia" w:eastAsia="仿宋"/>
                <w:sz w:val="24"/>
                <w:szCs w:val="24"/>
              </w:rPr>
              <w:t>基本</w:t>
            </w:r>
          </w:p>
          <w:p>
            <w:pPr>
              <w:jc w:val="center"/>
              <w:rPr>
                <w:rFonts w:eastAsia="仿宋"/>
                <w:sz w:val="24"/>
                <w:szCs w:val="24"/>
              </w:rPr>
            </w:pPr>
            <w:r>
              <w:rPr>
                <w:rFonts w:hint="eastAsia" w:eastAsia="仿宋"/>
                <w:sz w:val="24"/>
                <w:szCs w:val="24"/>
              </w:rPr>
              <w:t>知识</w:t>
            </w: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党的性质和宗旨</w:t>
            </w:r>
          </w:p>
        </w:tc>
        <w:tc>
          <w:tcPr>
            <w:tcW w:w="941" w:type="dxa"/>
            <w:vMerge w:val="restart"/>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8" w:type="dxa"/>
            <w:vMerge w:val="restart"/>
            <w:shd w:val="clear" w:color="auto" w:fill="auto"/>
            <w:vAlign w:val="center"/>
          </w:tcPr>
          <w:p>
            <w:pPr>
              <w:widowControl/>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widowControl/>
              <w:textAlignment w:val="center"/>
              <w:rPr>
                <w:rFonts w:eastAsia="仿宋"/>
                <w:color w:val="000000"/>
                <w:kern w:val="0"/>
                <w:sz w:val="24"/>
                <w:szCs w:val="24"/>
              </w:rPr>
            </w:pPr>
            <w:r>
              <w:rPr>
                <w:rFonts w:hint="eastAsia" w:eastAsia="仿宋"/>
                <w:color w:val="000000"/>
                <w:kern w:val="0"/>
                <w:sz w:val="24"/>
                <w:szCs w:val="24"/>
              </w:rPr>
              <w:t>党的组织与组织原则</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widowControl/>
              <w:textAlignment w:val="center"/>
              <w:rPr>
                <w:rFonts w:eastAsia="仿宋"/>
                <w:color w:val="000000"/>
                <w:kern w:val="0"/>
                <w:sz w:val="24"/>
                <w:szCs w:val="24"/>
              </w:rPr>
            </w:pPr>
            <w:r>
              <w:rPr>
                <w:rFonts w:hint="eastAsia" w:eastAsia="仿宋"/>
                <w:color w:val="000000"/>
                <w:kern w:val="0"/>
                <w:sz w:val="24"/>
                <w:szCs w:val="24"/>
              </w:rPr>
              <w:t>党的纪律</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widowControl/>
              <w:textAlignment w:val="center"/>
              <w:rPr>
                <w:rFonts w:eastAsia="仿宋"/>
                <w:color w:val="000000"/>
                <w:kern w:val="0"/>
                <w:sz w:val="24"/>
                <w:szCs w:val="24"/>
              </w:rPr>
            </w:pPr>
            <w:r>
              <w:rPr>
                <w:rFonts w:hint="eastAsia" w:eastAsia="仿宋"/>
                <w:color w:val="000000"/>
                <w:kern w:val="0"/>
                <w:sz w:val="24"/>
                <w:szCs w:val="24"/>
              </w:rPr>
              <w:t>民主集中制——开展好党内政治生活的重要制度保障</w:t>
            </w:r>
          </w:p>
        </w:tc>
        <w:tc>
          <w:tcPr>
            <w:tcW w:w="941" w:type="dxa"/>
            <w:shd w:val="clear" w:color="auto" w:fill="auto"/>
            <w:vAlign w:val="center"/>
          </w:tcPr>
          <w:p>
            <w:pPr>
              <w:widowControl/>
              <w:textAlignment w:val="center"/>
              <w:rPr>
                <w:rFonts w:eastAsia="仿宋"/>
                <w:color w:val="000000"/>
                <w:kern w:val="0"/>
                <w:sz w:val="24"/>
                <w:szCs w:val="24"/>
              </w:rPr>
            </w:pPr>
            <w:r>
              <w:rPr>
                <w:rFonts w:hint="eastAsia" w:eastAsia="仿宋"/>
                <w:color w:val="000000"/>
                <w:kern w:val="0"/>
                <w:sz w:val="24"/>
                <w:szCs w:val="24"/>
              </w:rPr>
              <w:t>李军鹏</w:t>
            </w:r>
          </w:p>
        </w:tc>
        <w:tc>
          <w:tcPr>
            <w:tcW w:w="2518" w:type="dxa"/>
            <w:shd w:val="clear" w:color="auto" w:fill="auto"/>
            <w:vAlign w:val="center"/>
          </w:tcPr>
          <w:p>
            <w:pPr>
              <w:widowControl/>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jc w:val="center"/>
              <w:rPr>
                <w:rFonts w:eastAsia="仿宋"/>
                <w:sz w:val="24"/>
                <w:szCs w:val="24"/>
              </w:rPr>
            </w:pPr>
            <w:r>
              <w:rPr>
                <w:rFonts w:hint="eastAsia" w:eastAsia="仿宋"/>
                <w:sz w:val="24"/>
                <w:szCs w:val="24"/>
              </w:rPr>
              <w:t>党史</w:t>
            </w:r>
          </w:p>
          <w:p>
            <w:pPr>
              <w:jc w:val="center"/>
              <w:rPr>
                <w:rFonts w:eastAsia="仿宋"/>
                <w:sz w:val="24"/>
                <w:szCs w:val="24"/>
              </w:rPr>
            </w:pPr>
            <w:r>
              <w:rPr>
                <w:rFonts w:hint="eastAsia" w:eastAsia="仿宋"/>
                <w:sz w:val="24"/>
                <w:szCs w:val="24"/>
              </w:rPr>
              <w:t>国史</w:t>
            </w:r>
          </w:p>
          <w:p>
            <w:pPr>
              <w:jc w:val="center"/>
              <w:rPr>
                <w:rFonts w:eastAsia="仿宋"/>
                <w:sz w:val="24"/>
                <w:szCs w:val="24"/>
              </w:rPr>
            </w:pPr>
            <w:r>
              <w:rPr>
                <w:rFonts w:hint="eastAsia" w:eastAsia="仿宋"/>
                <w:sz w:val="24"/>
                <w:szCs w:val="24"/>
              </w:rPr>
              <w:t>教育</w:t>
            </w: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中国共产党从哪里来</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8" w:type="dxa"/>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中国共产党的发展历程—不忘初心 砥砺奋进</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屈  宏</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大连理工大学马克思主义学院副院长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八七会议及三大起义，开创中国革命新道路</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翁贺凯</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清华大学马克思主义学院副教授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延安十三年</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纪录片</w:t>
            </w:r>
          </w:p>
        </w:tc>
        <w:tc>
          <w:tcPr>
            <w:tcW w:w="2518" w:type="dxa"/>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中华人民共和国成立70周年光辉历程</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祝  彦</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从站起来、富起来到强起来——中华民族复兴伟大梦想的发展历程</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刘  春</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jc w:val="center"/>
              <w:rPr>
                <w:rFonts w:eastAsia="仿宋"/>
                <w:sz w:val="24"/>
                <w:szCs w:val="24"/>
              </w:rPr>
            </w:pPr>
            <w:r>
              <w:rPr>
                <w:rFonts w:hint="eastAsia" w:eastAsia="仿宋"/>
                <w:sz w:val="24"/>
                <w:szCs w:val="24"/>
              </w:rPr>
              <w:t>爱国</w:t>
            </w:r>
          </w:p>
          <w:p>
            <w:pPr>
              <w:jc w:val="center"/>
              <w:rPr>
                <w:rFonts w:eastAsia="仿宋"/>
                <w:sz w:val="24"/>
                <w:szCs w:val="24"/>
              </w:rPr>
            </w:pPr>
            <w:r>
              <w:rPr>
                <w:rFonts w:hint="eastAsia" w:eastAsia="仿宋"/>
                <w:sz w:val="24"/>
                <w:szCs w:val="24"/>
              </w:rPr>
              <w:t>主义</w:t>
            </w:r>
          </w:p>
          <w:p>
            <w:pPr>
              <w:jc w:val="center"/>
              <w:rPr>
                <w:rFonts w:eastAsia="仿宋"/>
                <w:sz w:val="24"/>
                <w:szCs w:val="24"/>
              </w:rPr>
            </w:pPr>
            <w:r>
              <w:rPr>
                <w:rFonts w:hint="eastAsia" w:eastAsia="仿宋"/>
                <w:sz w:val="24"/>
                <w:szCs w:val="24"/>
              </w:rPr>
              <w:t>教育</w:t>
            </w: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《新时代爱国主义教育实施纲要》解读</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黄  亮</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五四精神的实质——爱国主义</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胡献忠</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让爱国主义旗帜始终在心中高高飘扬  —新时代大学生党员如何弘扬爱国精神</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刘树宏</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中央民族大学马克思主义学院教授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理想信念——心中有了信仰，脚下才有力量</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石国亮</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沿着伟人和领袖的足迹青春奋斗 做勇担民族复兴大任的时代新人</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刘国权</w:t>
            </w:r>
          </w:p>
        </w:tc>
        <w:tc>
          <w:tcPr>
            <w:tcW w:w="2518"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哈尔滨师范大学辅导员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shd w:val="clear" w:color="auto" w:fill="auto"/>
            <w:vAlign w:val="center"/>
          </w:tcPr>
          <w:p>
            <w:pPr>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课程</w:t>
            </w:r>
          </w:p>
          <w:p>
            <w:pPr>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模块</w:t>
            </w:r>
          </w:p>
        </w:tc>
        <w:tc>
          <w:tcPr>
            <w:tcW w:w="4320" w:type="dxa"/>
            <w:shd w:val="clear" w:color="auto" w:fill="auto"/>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课程名称</w:t>
            </w:r>
          </w:p>
        </w:tc>
        <w:tc>
          <w:tcPr>
            <w:tcW w:w="941" w:type="dxa"/>
            <w:shd w:val="clear" w:color="auto" w:fill="auto"/>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主讲人</w:t>
            </w:r>
          </w:p>
        </w:tc>
        <w:tc>
          <w:tcPr>
            <w:tcW w:w="2518" w:type="dxa"/>
            <w:shd w:val="clear" w:color="auto" w:fill="auto"/>
            <w:vAlign w:val="center"/>
          </w:tcPr>
          <w:p>
            <w:pPr>
              <w:jc w:val="center"/>
              <w:rPr>
                <w:rFonts w:eastAsia="仿宋"/>
                <w:b/>
                <w:bCs/>
                <w:color w:val="000000"/>
                <w:kern w:val="0"/>
                <w:sz w:val="24"/>
                <w:szCs w:val="24"/>
              </w:rPr>
            </w:pPr>
            <w:r>
              <w:rPr>
                <w:rFonts w:hint="eastAsia"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入党</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积极</w:t>
            </w:r>
          </w:p>
          <w:p>
            <w:pPr>
              <w:widowControl/>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分子</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的确定和培养</w:t>
            </w:r>
          </w:p>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党组织的期望</w:t>
            </w:r>
          </w:p>
        </w:tc>
        <w:tc>
          <w:tcPr>
            <w:tcW w:w="941" w:type="dxa"/>
            <w:vMerge w:val="restart"/>
            <w:shd w:val="clear" w:color="auto" w:fill="auto"/>
            <w:vAlign w:val="center"/>
          </w:tcPr>
          <w:p>
            <w:pPr>
              <w:jc w:val="center"/>
              <w:textAlignment w:val="center"/>
              <w:rPr>
                <w:rFonts w:eastAsia="仿宋"/>
                <w:color w:val="000000"/>
                <w:kern w:val="0"/>
                <w:sz w:val="24"/>
                <w:szCs w:val="24"/>
              </w:rPr>
            </w:pPr>
            <w:r>
              <w:rPr>
                <w:rFonts w:eastAsia="仿宋"/>
                <w:color w:val="000000"/>
                <w:kern w:val="0"/>
                <w:sz w:val="24"/>
                <w:szCs w:val="24"/>
              </w:rPr>
              <w:t>微  课</w:t>
            </w:r>
          </w:p>
        </w:tc>
        <w:tc>
          <w:tcPr>
            <w:tcW w:w="2518" w:type="dxa"/>
            <w:vMerge w:val="restart"/>
            <w:shd w:val="clear" w:color="auto" w:fill="auto"/>
            <w:vAlign w:val="center"/>
          </w:tcPr>
          <w:p>
            <w:pPr>
              <w:rPr>
                <w:rFonts w:eastAsia="仿宋"/>
                <w:color w:val="000000"/>
                <w:kern w:val="0"/>
                <w:sz w:val="24"/>
                <w:szCs w:val="24"/>
              </w:rPr>
            </w:pPr>
            <w:r>
              <w:rPr>
                <w:rFonts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发展大学生党员的意义</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你符合申请入党的条件吗</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端正入党动机</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入党</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入党的流程</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个人自愿向党组织提出入党申请</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对入党积极分子的培养教育和考察</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入党积极分子的考评内容</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入党申请书</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如何写好入党思想汇报</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shd w:val="clear" w:color="auto" w:fill="auto"/>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《入党积极分子考察表》中个人基本情况的填写</w:t>
            </w:r>
          </w:p>
        </w:tc>
        <w:tc>
          <w:tcPr>
            <w:tcW w:w="941" w:type="dxa"/>
            <w:vMerge w:val="continue"/>
            <w:shd w:val="clear" w:color="auto" w:fill="auto"/>
            <w:vAlign w:val="center"/>
          </w:tcPr>
          <w:p>
            <w:pPr>
              <w:jc w:val="center"/>
              <w:textAlignment w:val="center"/>
              <w:rPr>
                <w:rFonts w:eastAsia="仿宋"/>
                <w:color w:val="000000"/>
                <w:kern w:val="0"/>
                <w:sz w:val="24"/>
                <w:szCs w:val="24"/>
              </w:rPr>
            </w:pPr>
          </w:p>
        </w:tc>
        <w:tc>
          <w:tcPr>
            <w:tcW w:w="2518" w:type="dxa"/>
            <w:vMerge w:val="continue"/>
            <w:shd w:val="clear" w:color="auto" w:fill="auto"/>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shd w:val="clear" w:color="auto" w:fill="auto"/>
            <w:vAlign w:val="center"/>
          </w:tcPr>
          <w:p>
            <w:pPr>
              <w:jc w:val="center"/>
              <w:rPr>
                <w:rFonts w:eastAsia="仿宋"/>
                <w:sz w:val="24"/>
                <w:szCs w:val="24"/>
              </w:rPr>
            </w:pPr>
            <w:r>
              <w:rPr>
                <w:rFonts w:hint="eastAsia" w:eastAsia="仿宋"/>
                <w:sz w:val="24"/>
                <w:szCs w:val="24"/>
              </w:rPr>
              <w:t>优秀</w:t>
            </w:r>
          </w:p>
          <w:p>
            <w:pPr>
              <w:jc w:val="center"/>
              <w:rPr>
                <w:rFonts w:eastAsia="仿宋"/>
                <w:sz w:val="24"/>
                <w:szCs w:val="24"/>
              </w:rPr>
            </w:pPr>
            <w:r>
              <w:rPr>
                <w:rFonts w:hint="eastAsia" w:eastAsia="仿宋"/>
                <w:sz w:val="24"/>
                <w:szCs w:val="24"/>
              </w:rPr>
              <w:t>党员</w:t>
            </w:r>
          </w:p>
          <w:p>
            <w:pPr>
              <w:jc w:val="center"/>
              <w:rPr>
                <w:rFonts w:eastAsia="仿宋"/>
                <w:sz w:val="24"/>
                <w:szCs w:val="24"/>
              </w:rPr>
            </w:pPr>
            <w:r>
              <w:rPr>
                <w:rFonts w:hint="eastAsia" w:eastAsia="仿宋"/>
                <w:sz w:val="24"/>
                <w:szCs w:val="24"/>
              </w:rPr>
              <w:t>事迹</w:t>
            </w: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毛泽东三次赋诗称赞的“飞天骁将”——黄公略</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8" w:type="dxa"/>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唐真亚-大湖鸿雁</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专题片</w:t>
            </w:r>
          </w:p>
        </w:tc>
        <w:tc>
          <w:tcPr>
            <w:tcW w:w="2518" w:type="dxa"/>
            <w:shd w:val="clear" w:color="auto" w:fill="auto"/>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jc w:val="center"/>
              <w:rPr>
                <w:rFonts w:eastAsia="仿宋"/>
                <w:sz w:val="24"/>
                <w:szCs w:val="24"/>
              </w:rPr>
            </w:pPr>
          </w:p>
        </w:tc>
        <w:tc>
          <w:tcPr>
            <w:tcW w:w="4320" w:type="dxa"/>
            <w:shd w:val="clear" w:color="auto" w:fill="auto"/>
            <w:vAlign w:val="center"/>
          </w:tcPr>
          <w:p>
            <w:pPr>
              <w:textAlignment w:val="center"/>
              <w:rPr>
                <w:rFonts w:eastAsia="仿宋"/>
                <w:color w:val="000000"/>
                <w:kern w:val="0"/>
                <w:sz w:val="24"/>
                <w:szCs w:val="24"/>
              </w:rPr>
            </w:pPr>
            <w:r>
              <w:rPr>
                <w:rFonts w:hint="eastAsia" w:eastAsia="仿宋"/>
                <w:color w:val="000000"/>
                <w:kern w:val="0"/>
                <w:sz w:val="24"/>
                <w:szCs w:val="24"/>
              </w:rPr>
              <w:t>嫦娥四号任务团体代表</w:t>
            </w:r>
          </w:p>
        </w:tc>
        <w:tc>
          <w:tcPr>
            <w:tcW w:w="941" w:type="dxa"/>
            <w:shd w:val="clear" w:color="auto" w:fill="auto"/>
            <w:vAlign w:val="center"/>
          </w:tcPr>
          <w:p>
            <w:pPr>
              <w:jc w:val="center"/>
              <w:textAlignment w:val="center"/>
              <w:rPr>
                <w:rFonts w:eastAsia="仿宋"/>
                <w:color w:val="000000"/>
                <w:kern w:val="0"/>
                <w:sz w:val="24"/>
                <w:szCs w:val="24"/>
              </w:rPr>
            </w:pPr>
            <w:r>
              <w:rPr>
                <w:rFonts w:hint="eastAsia" w:eastAsia="仿宋"/>
                <w:color w:val="000000"/>
                <w:kern w:val="0"/>
                <w:sz w:val="24"/>
                <w:szCs w:val="24"/>
              </w:rPr>
              <w:t>专题片</w:t>
            </w:r>
          </w:p>
        </w:tc>
        <w:tc>
          <w:tcPr>
            <w:tcW w:w="2518" w:type="dxa"/>
            <w:shd w:val="clear" w:color="auto" w:fill="auto"/>
            <w:vAlign w:val="center"/>
          </w:tcPr>
          <w:p>
            <w:pPr>
              <w:textAlignment w:val="center"/>
              <w:rPr>
                <w:rFonts w:eastAsia="仿宋"/>
                <w:color w:val="000000"/>
                <w:kern w:val="0"/>
                <w:sz w:val="24"/>
                <w:szCs w:val="24"/>
              </w:rPr>
            </w:pPr>
          </w:p>
        </w:tc>
      </w:tr>
    </w:tbl>
    <w:p>
      <w:pPr>
        <w:pStyle w:val="2"/>
        <w:spacing w:before="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发展对象</w:t>
      </w: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2517"/>
      </w:tblGrid>
      <w:tr>
        <w:tblPrEx>
          <w:tblCellMar>
            <w:top w:w="0" w:type="dxa"/>
            <w:left w:w="108" w:type="dxa"/>
            <w:bottom w:w="0" w:type="dxa"/>
            <w:right w:w="108" w:type="dxa"/>
          </w:tblCellMar>
        </w:tblPrEx>
        <w:trPr>
          <w:trHeight w:val="567" w:hRule="atLeast"/>
        </w:trPr>
        <w:tc>
          <w:tcPr>
            <w:tcW w:w="941" w:type="dxa"/>
            <w:vAlign w:val="center"/>
          </w:tcPr>
          <w:p>
            <w:pPr>
              <w:jc w:val="center"/>
              <w:rPr>
                <w:rFonts w:eastAsia="仿宋"/>
                <w:b/>
                <w:bCs/>
                <w:color w:val="000000"/>
                <w:sz w:val="24"/>
                <w:szCs w:val="24"/>
              </w:rPr>
            </w:pPr>
            <w:r>
              <w:rPr>
                <w:rFonts w:eastAsia="仿宋"/>
                <w:b/>
                <w:bCs/>
                <w:color w:val="000000"/>
                <w:sz w:val="24"/>
                <w:szCs w:val="24"/>
              </w:rPr>
              <w:t>课程</w:t>
            </w:r>
          </w:p>
          <w:p>
            <w:pPr>
              <w:jc w:val="center"/>
              <w:rPr>
                <w:rFonts w:eastAsia="仿宋"/>
                <w:b/>
                <w:bCs/>
                <w:color w:val="000000"/>
                <w:sz w:val="24"/>
                <w:szCs w:val="24"/>
              </w:rPr>
            </w:pPr>
            <w:r>
              <w:rPr>
                <w:rFonts w:eastAsia="仿宋"/>
                <w:b/>
                <w:bCs/>
                <w:color w:val="000000"/>
                <w:sz w:val="24"/>
                <w:szCs w:val="24"/>
              </w:rPr>
              <w:t>模块</w:t>
            </w:r>
          </w:p>
        </w:tc>
        <w:tc>
          <w:tcPr>
            <w:tcW w:w="4320" w:type="dxa"/>
            <w:vAlign w:val="center"/>
          </w:tcPr>
          <w:p>
            <w:pPr>
              <w:jc w:val="center"/>
              <w:rPr>
                <w:rFonts w:eastAsia="仿宋"/>
                <w:b/>
                <w:bCs/>
                <w:color w:val="000000"/>
                <w:sz w:val="24"/>
                <w:szCs w:val="24"/>
              </w:rPr>
            </w:pPr>
            <w:r>
              <w:rPr>
                <w:rFonts w:eastAsia="仿宋"/>
                <w:b/>
                <w:bCs/>
                <w:color w:val="000000"/>
                <w:sz w:val="24"/>
                <w:szCs w:val="24"/>
              </w:rPr>
              <w:t>课程名称</w:t>
            </w:r>
          </w:p>
        </w:tc>
        <w:tc>
          <w:tcPr>
            <w:tcW w:w="941" w:type="dxa"/>
            <w:vAlign w:val="center"/>
          </w:tcPr>
          <w:p>
            <w:pPr>
              <w:jc w:val="center"/>
              <w:rPr>
                <w:rFonts w:eastAsia="仿宋"/>
                <w:b/>
                <w:bCs/>
                <w:color w:val="000000"/>
                <w:sz w:val="24"/>
                <w:szCs w:val="24"/>
              </w:rPr>
            </w:pPr>
            <w:r>
              <w:rPr>
                <w:rFonts w:eastAsia="仿宋"/>
                <w:b/>
                <w:bCs/>
                <w:color w:val="000000"/>
                <w:sz w:val="24"/>
                <w:szCs w:val="24"/>
              </w:rPr>
              <w:t>主讲人</w:t>
            </w:r>
          </w:p>
        </w:tc>
        <w:tc>
          <w:tcPr>
            <w:tcW w:w="2517" w:type="dxa"/>
            <w:vAlign w:val="center"/>
          </w:tcPr>
          <w:p>
            <w:pPr>
              <w:jc w:val="center"/>
              <w:rPr>
                <w:rFonts w:eastAsia="仿宋"/>
                <w:b/>
                <w:bCs/>
                <w:color w:val="000000"/>
                <w:sz w:val="24"/>
                <w:szCs w:val="24"/>
              </w:rPr>
            </w:pPr>
            <w:r>
              <w:rPr>
                <w:rFonts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jc w:val="center"/>
              <w:rPr>
                <w:rFonts w:eastAsia="仿宋"/>
                <w:sz w:val="24"/>
                <w:szCs w:val="24"/>
              </w:rPr>
            </w:pPr>
            <w:r>
              <w:rPr>
                <w:rFonts w:eastAsia="仿宋"/>
                <w:sz w:val="24"/>
                <w:szCs w:val="24"/>
              </w:rPr>
              <w:t>习近平</w:t>
            </w:r>
          </w:p>
          <w:p>
            <w:pPr>
              <w:jc w:val="center"/>
              <w:rPr>
                <w:rFonts w:eastAsia="仿宋"/>
                <w:sz w:val="24"/>
                <w:szCs w:val="24"/>
              </w:rPr>
            </w:pPr>
            <w:r>
              <w:rPr>
                <w:rFonts w:eastAsia="仿宋"/>
                <w:sz w:val="24"/>
                <w:szCs w:val="24"/>
              </w:rPr>
              <w:t>新时代中国</w:t>
            </w:r>
          </w:p>
          <w:p>
            <w:pPr>
              <w:jc w:val="center"/>
              <w:rPr>
                <w:rFonts w:eastAsia="仿宋"/>
                <w:sz w:val="24"/>
                <w:szCs w:val="24"/>
              </w:rPr>
            </w:pPr>
            <w:r>
              <w:rPr>
                <w:rFonts w:eastAsia="仿宋"/>
                <w:sz w:val="24"/>
                <w:szCs w:val="24"/>
              </w:rPr>
              <w:t>特色</w:t>
            </w:r>
          </w:p>
          <w:p>
            <w:pPr>
              <w:jc w:val="center"/>
              <w:rPr>
                <w:rFonts w:eastAsia="仿宋"/>
                <w:sz w:val="24"/>
                <w:szCs w:val="24"/>
              </w:rPr>
            </w:pPr>
            <w:r>
              <w:rPr>
                <w:rFonts w:eastAsia="仿宋"/>
                <w:sz w:val="24"/>
                <w:szCs w:val="24"/>
              </w:rPr>
              <w:t>社会</w:t>
            </w:r>
          </w:p>
          <w:p>
            <w:pPr>
              <w:jc w:val="center"/>
              <w:rPr>
                <w:rFonts w:eastAsia="仿宋"/>
                <w:sz w:val="24"/>
                <w:szCs w:val="24"/>
              </w:rPr>
            </w:pPr>
            <w:r>
              <w:rPr>
                <w:rFonts w:eastAsia="仿宋"/>
                <w:sz w:val="24"/>
                <w:szCs w:val="24"/>
              </w:rPr>
              <w:t>主义</w:t>
            </w:r>
          </w:p>
          <w:p>
            <w:pPr>
              <w:jc w:val="center"/>
              <w:rPr>
                <w:sz w:val="24"/>
                <w:szCs w:val="24"/>
              </w:rPr>
            </w:pPr>
            <w:r>
              <w:rPr>
                <w:rFonts w:eastAsia="仿宋"/>
                <w:sz w:val="24"/>
                <w:szCs w:val="24"/>
              </w:rPr>
              <w:t>思想</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学习领会党的十九届四中全会精神</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颜晓峰</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习近平新时代中国特色社会主义思想是党和国家必须长期坚持的指导思想</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中国特色社会主义新时代标示我国发展新的历史方位</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我国社会主要矛盾的变化是关系全局的历史性变化</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坚持和发展中国特色社会主义是当代中国发展进步的根本方向</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1" w:type="dxa"/>
            <w:vMerge w:val="continue"/>
            <w:vAlign w:val="center"/>
          </w:tcPr>
          <w:p>
            <w:pPr>
              <w:jc w:val="center"/>
              <w:rPr>
                <w:rFonts w:eastAsia="仿宋"/>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坚持新发展理念，统筹推进“五位一体”总体布局和协调推进“四个全面”战略布局</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刘  春</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聚焦习近平与社会主义核心价值观</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课程</w:t>
            </w:r>
          </w:p>
          <w:p>
            <w:pPr>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模块</w:t>
            </w:r>
          </w:p>
        </w:tc>
        <w:tc>
          <w:tcPr>
            <w:tcW w:w="4320"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课程名称</w:t>
            </w:r>
          </w:p>
        </w:tc>
        <w:tc>
          <w:tcPr>
            <w:tcW w:w="941"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主讲人</w:t>
            </w:r>
          </w:p>
        </w:tc>
        <w:tc>
          <w:tcPr>
            <w:tcW w:w="2517"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国家</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安全</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与</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形势</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政策</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国际视野下的中国道路</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张维为</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复旦大学中国研究院院长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国际战略形势变化与中美俄战略博弈</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姜春良</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中国人民解放军军事科学院研究员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全面客观理解中美贸易不平衡问题</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许宪春</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清华大学中国经济社会数据研究中心主任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坚持总体国家安全观</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新时代中国特色国家安全思想</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刘跃进</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国际关系学院公共管理系国家安全教研室主任、教授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jc w:val="center"/>
              <w:rPr>
                <w:rFonts w:eastAsia="仿宋"/>
                <w:color w:val="000000" w:themeColor="text1"/>
                <w:sz w:val="24"/>
                <w:szCs w:val="24"/>
                <w14:textFill>
                  <w14:solidFill>
                    <w14:schemeClr w14:val="tx1"/>
                  </w14:solidFill>
                </w14:textFill>
              </w:rPr>
            </w:pP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党章</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及其</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发展</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历程</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追根溯源说党章</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为什么要学党章</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学党章究竟学什么</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历届党章</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vAlign w:val="center"/>
          </w:tcPr>
          <w:p>
            <w:pPr>
              <w:widowControl/>
              <w:jc w:val="left"/>
              <w:textAlignment w:val="bottom"/>
              <w:rPr>
                <w:rFonts w:eastAsia="仿宋"/>
                <w:color w:val="000000"/>
                <w:kern w:val="0"/>
                <w:sz w:val="24"/>
                <w:szCs w:val="24"/>
              </w:rPr>
            </w:pPr>
            <w:r>
              <w:rPr>
                <w:rFonts w:hint="eastAsia" w:eastAsia="仿宋"/>
                <w:color w:val="000000"/>
                <w:kern w:val="0"/>
                <w:sz w:val="24"/>
                <w:szCs w:val="24"/>
              </w:rPr>
              <w:t>李忠杰解读“党章之变”</w:t>
            </w:r>
          </w:p>
        </w:tc>
        <w:tc>
          <w:tcPr>
            <w:tcW w:w="941" w:type="dxa"/>
            <w:vAlign w:val="center"/>
          </w:tcPr>
          <w:p>
            <w:pPr>
              <w:widowControl/>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十九大党章</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党史</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国史</w:t>
            </w:r>
          </w:p>
          <w:p>
            <w:pPr>
              <w:jc w:val="center"/>
              <w:rPr>
                <w:sz w:val="24"/>
                <w:szCs w:val="24"/>
              </w:rPr>
            </w:pPr>
            <w:r>
              <w:rPr>
                <w:rFonts w:hint="eastAsia" w:eastAsia="仿宋"/>
                <w:color w:val="000000" w:themeColor="text1"/>
                <w:sz w:val="24"/>
                <w:szCs w:val="24"/>
                <w14:textFill>
                  <w14:solidFill>
                    <w14:schemeClr w14:val="tx1"/>
                  </w14:solidFill>
                </w14:textFill>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改革开放四十年来四个历史阶段回顾</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高尚全</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当代中国改革的历史进程与基本经验</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严书翰</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遵义会议，中国共产党历史上一次重大的历史转折</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祝  彦</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牢记“两个务必”，弘扬优良传统</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李松林</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发展</w:t>
            </w:r>
          </w:p>
          <w:p>
            <w:pPr>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对象</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的确定和考察</w:t>
            </w:r>
          </w:p>
        </w:tc>
        <w:tc>
          <w:tcPr>
            <w:tcW w:w="4320" w:type="dxa"/>
            <w:vAlign w:val="center"/>
          </w:tcPr>
          <w:p>
            <w:pPr>
              <w:textAlignment w:val="center"/>
              <w:rPr>
                <w:rFonts w:eastAsia="仿宋"/>
                <w:color w:val="000000"/>
                <w:kern w:val="0"/>
                <w:sz w:val="24"/>
                <w:szCs w:val="24"/>
              </w:rPr>
            </w:pPr>
            <w:r>
              <w:rPr>
                <w:rFonts w:eastAsia="仿宋"/>
                <w:color w:val="000000"/>
                <w:kern w:val="0"/>
                <w:sz w:val="24"/>
                <w:szCs w:val="24"/>
              </w:rPr>
              <w:t>确定和考察发展对象</w:t>
            </w:r>
          </w:p>
        </w:tc>
        <w:tc>
          <w:tcPr>
            <w:tcW w:w="941" w:type="dxa"/>
            <w:vMerge w:val="restart"/>
            <w:vAlign w:val="center"/>
          </w:tcPr>
          <w:p>
            <w:pPr>
              <w:jc w:val="center"/>
              <w:textAlignment w:val="center"/>
              <w:rPr>
                <w:rFonts w:eastAsia="仿宋"/>
                <w:color w:val="000000"/>
                <w:kern w:val="0"/>
                <w:sz w:val="24"/>
                <w:szCs w:val="24"/>
              </w:rPr>
            </w:pPr>
            <w:r>
              <w:rPr>
                <w:rFonts w:eastAsia="仿宋"/>
                <w:color w:val="000000"/>
                <w:kern w:val="0"/>
                <w:sz w:val="24"/>
                <w:szCs w:val="24"/>
              </w:rPr>
              <w:t>微  课</w:t>
            </w:r>
          </w:p>
          <w:p>
            <w:pPr>
              <w:jc w:val="center"/>
              <w:textAlignment w:val="center"/>
              <w:rPr>
                <w:rFonts w:eastAsia="仿宋"/>
                <w:color w:val="000000"/>
                <w:kern w:val="0"/>
                <w:sz w:val="24"/>
                <w:szCs w:val="24"/>
              </w:rPr>
            </w:pPr>
          </w:p>
        </w:tc>
        <w:tc>
          <w:tcPr>
            <w:tcW w:w="2517" w:type="dxa"/>
            <w:vMerge w:val="restart"/>
            <w:vAlign w:val="center"/>
          </w:tcPr>
          <w:p>
            <w:pPr>
              <w:rPr>
                <w:rFonts w:eastAsia="仿宋"/>
                <w:color w:val="000000"/>
                <w:kern w:val="0"/>
                <w:sz w:val="24"/>
                <w:szCs w:val="24"/>
              </w:rPr>
            </w:pPr>
            <w:r>
              <w:rPr>
                <w:rFonts w:eastAsia="仿宋"/>
                <w:color w:val="000000"/>
                <w:kern w:val="0"/>
                <w:sz w:val="24"/>
                <w:szCs w:val="24"/>
              </w:rPr>
              <w:t>发展党员的程序和手续系列微课——发展对象</w:t>
            </w:r>
          </w:p>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jc w:val="center"/>
              <w:rPr>
                <w:rFonts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eastAsia="仿宋"/>
                <w:color w:val="000000"/>
                <w:kern w:val="0"/>
                <w:sz w:val="24"/>
                <w:szCs w:val="24"/>
              </w:rPr>
            </w:pPr>
            <w:r>
              <w:rPr>
                <w:rFonts w:eastAsia="仿宋"/>
                <w:color w:val="000000"/>
                <w:kern w:val="0"/>
                <w:sz w:val="24"/>
                <w:szCs w:val="24"/>
              </w:rPr>
              <w:t>如何写好入党自传</w:t>
            </w:r>
          </w:p>
        </w:tc>
        <w:tc>
          <w:tcPr>
            <w:tcW w:w="941" w:type="dxa"/>
            <w:vMerge w:val="continue"/>
            <w:vAlign w:val="center"/>
          </w:tcPr>
          <w:p>
            <w:pPr>
              <w:jc w:val="center"/>
              <w:textAlignment w:val="center"/>
              <w:rPr>
                <w:rFonts w:eastAsia="仿宋"/>
                <w:color w:val="000000"/>
                <w:kern w:val="0"/>
                <w:sz w:val="24"/>
                <w:szCs w:val="24"/>
              </w:rPr>
            </w:pPr>
          </w:p>
        </w:tc>
        <w:tc>
          <w:tcPr>
            <w:tcW w:w="2517" w:type="dxa"/>
            <w:vMerge w:val="continue"/>
            <w:vAlign w:val="center"/>
          </w:tcPr>
          <w:p>
            <w:pP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jc w:val="center"/>
              <w:rPr>
                <w:rFonts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eastAsia="仿宋"/>
                <w:color w:val="000000"/>
                <w:kern w:val="0"/>
                <w:sz w:val="24"/>
                <w:szCs w:val="24"/>
              </w:rPr>
            </w:pPr>
            <w:r>
              <w:rPr>
                <w:rFonts w:hint="eastAsia" w:eastAsia="仿宋"/>
                <w:color w:val="000000"/>
                <w:kern w:val="0"/>
                <w:sz w:val="24"/>
                <w:szCs w:val="24"/>
              </w:rPr>
              <w:t>如何写自我鉴定</w:t>
            </w:r>
          </w:p>
        </w:tc>
        <w:tc>
          <w:tcPr>
            <w:tcW w:w="941" w:type="dxa"/>
            <w:vMerge w:val="continue"/>
            <w:vAlign w:val="center"/>
          </w:tcPr>
          <w:p>
            <w:pPr>
              <w:widowControl/>
              <w:jc w:val="center"/>
              <w:textAlignment w:val="center"/>
              <w:rPr>
                <w:rFonts w:eastAsia="仿宋"/>
                <w:color w:val="000000"/>
                <w:kern w:val="0"/>
                <w:sz w:val="24"/>
                <w:szCs w:val="24"/>
              </w:rPr>
            </w:pPr>
          </w:p>
        </w:tc>
        <w:tc>
          <w:tcPr>
            <w:tcW w:w="2517" w:type="dxa"/>
            <w:vMerge w:val="continue"/>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jc w:val="center"/>
              <w:rPr>
                <w:rFonts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eastAsia="仿宋"/>
                <w:color w:val="000000"/>
                <w:kern w:val="0"/>
                <w:sz w:val="24"/>
                <w:szCs w:val="24"/>
              </w:rPr>
            </w:pPr>
            <w:r>
              <w:rPr>
                <w:rFonts w:eastAsia="仿宋"/>
                <w:color w:val="000000"/>
                <w:kern w:val="0"/>
                <w:sz w:val="24"/>
                <w:szCs w:val="24"/>
              </w:rPr>
              <w:t>自觉接受党组织的培养、教育和考察</w:t>
            </w:r>
          </w:p>
        </w:tc>
        <w:tc>
          <w:tcPr>
            <w:tcW w:w="941" w:type="dxa"/>
            <w:vMerge w:val="continue"/>
            <w:vAlign w:val="center"/>
          </w:tcPr>
          <w:p>
            <w:pPr>
              <w:widowControl/>
              <w:jc w:val="center"/>
              <w:textAlignment w:val="center"/>
              <w:rPr>
                <w:rFonts w:eastAsia="仿宋"/>
                <w:color w:val="000000"/>
                <w:kern w:val="0"/>
                <w:sz w:val="24"/>
                <w:szCs w:val="24"/>
              </w:rPr>
            </w:pPr>
          </w:p>
        </w:tc>
        <w:tc>
          <w:tcPr>
            <w:tcW w:w="2517" w:type="dxa"/>
            <w:vMerge w:val="continue"/>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jc w:val="center"/>
              <w:rPr>
                <w:rFonts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eastAsia="仿宋"/>
                <w:color w:val="000000"/>
                <w:kern w:val="0"/>
                <w:sz w:val="24"/>
                <w:szCs w:val="24"/>
              </w:rPr>
            </w:pPr>
            <w:r>
              <w:rPr>
                <w:rFonts w:eastAsia="仿宋"/>
                <w:color w:val="000000"/>
                <w:kern w:val="0"/>
                <w:sz w:val="24"/>
                <w:szCs w:val="24"/>
              </w:rPr>
              <w:t>政治审查的内容和方法</w:t>
            </w:r>
          </w:p>
        </w:tc>
        <w:tc>
          <w:tcPr>
            <w:tcW w:w="941" w:type="dxa"/>
            <w:vMerge w:val="continue"/>
            <w:vAlign w:val="center"/>
          </w:tcPr>
          <w:p>
            <w:pPr>
              <w:widowControl/>
              <w:jc w:val="center"/>
              <w:textAlignment w:val="center"/>
              <w:rPr>
                <w:rFonts w:eastAsia="仿宋"/>
                <w:color w:val="000000"/>
                <w:kern w:val="0"/>
                <w:sz w:val="24"/>
                <w:szCs w:val="24"/>
              </w:rPr>
            </w:pPr>
          </w:p>
        </w:tc>
        <w:tc>
          <w:tcPr>
            <w:tcW w:w="2517" w:type="dxa"/>
            <w:vMerge w:val="continue"/>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入党志愿书</w:t>
            </w:r>
          </w:p>
        </w:tc>
        <w:tc>
          <w:tcPr>
            <w:tcW w:w="941" w:type="dxa"/>
            <w:vMerge w:val="continue"/>
            <w:vAlign w:val="center"/>
          </w:tcPr>
          <w:p>
            <w:pPr>
              <w:jc w:val="center"/>
              <w:textAlignment w:val="center"/>
              <w:rPr>
                <w:rFonts w:eastAsia="仿宋"/>
                <w:color w:val="000000"/>
                <w:kern w:val="0"/>
                <w:sz w:val="24"/>
                <w:szCs w:val="24"/>
              </w:rPr>
            </w:pPr>
          </w:p>
        </w:tc>
        <w:tc>
          <w:tcPr>
            <w:tcW w:w="2517" w:type="dxa"/>
            <w:vMerge w:val="continue"/>
            <w:vAlign w:val="center"/>
          </w:tcPr>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eastAsia="仿宋"/>
                <w:color w:val="000000"/>
                <w:kern w:val="0"/>
                <w:sz w:val="24"/>
                <w:szCs w:val="24"/>
              </w:rPr>
            </w:pPr>
            <w:r>
              <w:rPr>
                <w:rFonts w:hint="eastAsia" w:eastAsia="仿宋"/>
                <w:color w:val="000000"/>
                <w:kern w:val="0"/>
                <w:sz w:val="24"/>
                <w:szCs w:val="24"/>
              </w:rPr>
              <w:t>入党志愿书的填写</w:t>
            </w:r>
          </w:p>
        </w:tc>
        <w:tc>
          <w:tcPr>
            <w:tcW w:w="941" w:type="dxa"/>
            <w:vMerge w:val="continue"/>
            <w:vAlign w:val="center"/>
          </w:tcPr>
          <w:p>
            <w:pPr>
              <w:widowControl/>
              <w:jc w:val="center"/>
              <w:textAlignment w:val="center"/>
              <w:rPr>
                <w:rFonts w:eastAsia="仿宋"/>
                <w:color w:val="000000"/>
                <w:kern w:val="0"/>
                <w:sz w:val="24"/>
                <w:szCs w:val="24"/>
              </w:rPr>
            </w:pPr>
          </w:p>
        </w:tc>
        <w:tc>
          <w:tcPr>
            <w:tcW w:w="2517" w:type="dxa"/>
            <w:vMerge w:val="continue"/>
            <w:vAlign w:val="center"/>
          </w:tcPr>
          <w:p>
            <w:pPr>
              <w:jc w:val="center"/>
              <w:rPr>
                <w:rFonts w:eastAsia="仿宋"/>
                <w:color w:val="000000"/>
                <w:kern w:val="0"/>
                <w:sz w:val="24"/>
                <w:szCs w:val="24"/>
              </w:rPr>
            </w:pPr>
          </w:p>
        </w:tc>
      </w:tr>
    </w:tbl>
    <w:p>
      <w:pPr>
        <w:jc w:val="center"/>
        <w:rPr>
          <w:rFonts w:eastAsia="仿宋"/>
          <w:sz w:val="24"/>
          <w:szCs w:val="24"/>
        </w:rPr>
      </w:pPr>
      <w:r>
        <w:rPr>
          <w:rFonts w:eastAsia="仿宋"/>
          <w:sz w:val="24"/>
          <w:szCs w:val="24"/>
        </w:rPr>
        <w:br w:type="page"/>
      </w: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eastAsia="仿宋"/>
                <w:b/>
                <w:sz w:val="24"/>
                <w:szCs w:val="24"/>
              </w:rPr>
            </w:pPr>
            <w:r>
              <w:rPr>
                <w:rFonts w:hint="eastAsia" w:eastAsia="仿宋"/>
                <w:b/>
                <w:sz w:val="24"/>
                <w:szCs w:val="24"/>
              </w:rPr>
              <w:t>课程</w:t>
            </w:r>
          </w:p>
          <w:p>
            <w:pPr>
              <w:jc w:val="center"/>
              <w:rPr>
                <w:rFonts w:eastAsia="仿宋"/>
                <w:b/>
                <w:sz w:val="24"/>
                <w:szCs w:val="24"/>
              </w:rPr>
            </w:pPr>
            <w:r>
              <w:rPr>
                <w:rFonts w:hint="eastAsia" w:eastAsia="仿宋"/>
                <w:b/>
                <w:sz w:val="24"/>
                <w:szCs w:val="24"/>
              </w:rPr>
              <w:t>模块</w:t>
            </w:r>
          </w:p>
        </w:tc>
        <w:tc>
          <w:tcPr>
            <w:tcW w:w="4320" w:type="dxa"/>
            <w:vAlign w:val="center"/>
          </w:tcPr>
          <w:p>
            <w:pPr>
              <w:jc w:val="center"/>
              <w:textAlignment w:val="center"/>
              <w:rPr>
                <w:rFonts w:eastAsia="仿宋"/>
                <w:b/>
                <w:color w:val="000000"/>
                <w:kern w:val="0"/>
                <w:sz w:val="24"/>
                <w:szCs w:val="24"/>
              </w:rPr>
            </w:pPr>
            <w:r>
              <w:rPr>
                <w:rFonts w:hint="eastAsia" w:eastAsia="仿宋"/>
                <w:b/>
                <w:color w:val="000000"/>
                <w:kern w:val="0"/>
                <w:sz w:val="24"/>
                <w:szCs w:val="24"/>
              </w:rPr>
              <w:t>课程名称</w:t>
            </w:r>
          </w:p>
        </w:tc>
        <w:tc>
          <w:tcPr>
            <w:tcW w:w="941" w:type="dxa"/>
            <w:vAlign w:val="center"/>
          </w:tcPr>
          <w:p>
            <w:pPr>
              <w:jc w:val="center"/>
              <w:textAlignment w:val="center"/>
              <w:rPr>
                <w:rFonts w:eastAsia="仿宋"/>
                <w:b/>
                <w:color w:val="000000"/>
                <w:kern w:val="0"/>
                <w:sz w:val="24"/>
                <w:szCs w:val="24"/>
              </w:rPr>
            </w:pPr>
            <w:r>
              <w:rPr>
                <w:rFonts w:hint="eastAsia" w:eastAsia="仿宋"/>
                <w:b/>
                <w:color w:val="000000"/>
                <w:kern w:val="0"/>
                <w:sz w:val="24"/>
                <w:szCs w:val="24"/>
              </w:rPr>
              <w:t>主讲人</w:t>
            </w:r>
          </w:p>
        </w:tc>
        <w:tc>
          <w:tcPr>
            <w:tcW w:w="2517" w:type="dxa"/>
            <w:vAlign w:val="center"/>
          </w:tcPr>
          <w:p>
            <w:pPr>
              <w:jc w:val="center"/>
              <w:textAlignment w:val="center"/>
              <w:rPr>
                <w:rFonts w:eastAsia="仿宋"/>
                <w:b/>
                <w:color w:val="000000"/>
                <w:kern w:val="0"/>
                <w:sz w:val="24"/>
                <w:szCs w:val="24"/>
              </w:rPr>
            </w:pPr>
            <w:r>
              <w:rPr>
                <w:rFonts w:hint="eastAsia" w:eastAsia="仿宋"/>
                <w:b/>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eastAsia="仿宋"/>
                <w:sz w:val="24"/>
                <w:szCs w:val="24"/>
              </w:rPr>
            </w:pPr>
            <w:r>
              <w:rPr>
                <w:rFonts w:eastAsia="仿宋"/>
                <w:sz w:val="24"/>
                <w:szCs w:val="24"/>
              </w:rPr>
              <w:t>理想</w:t>
            </w:r>
          </w:p>
          <w:p>
            <w:pPr>
              <w:jc w:val="center"/>
              <w:rPr>
                <w:rFonts w:eastAsia="仿宋"/>
                <w:sz w:val="24"/>
                <w:szCs w:val="24"/>
              </w:rPr>
            </w:pPr>
            <w:r>
              <w:rPr>
                <w:rFonts w:eastAsia="仿宋"/>
                <w:sz w:val="24"/>
                <w:szCs w:val="24"/>
              </w:rPr>
              <w:t>信念</w:t>
            </w:r>
          </w:p>
          <w:p>
            <w:pPr>
              <w:jc w:val="center"/>
              <w:rPr>
                <w:rFonts w:eastAsia="仿宋"/>
                <w:sz w:val="24"/>
                <w:szCs w:val="24"/>
              </w:rPr>
            </w:pPr>
            <w:r>
              <w:rPr>
                <w:rFonts w:eastAsia="仿宋"/>
                <w:bCs/>
                <w:sz w:val="24"/>
                <w:szCs w:val="24"/>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新时代共产党人的历史使命</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李海清</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“红船精神”：新长征路上的精神底蕴</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戴立兴</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古田会议，确定党对一切工作的领导</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祝  彦</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在真学真信中坚定理想信念，在学思践悟中牢记初心使命</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陈冬生</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坚定理想信念 为实现中华民族伟大复兴放飞青春梦想</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蔡红建</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北京交通大学马克思主义学院党委书记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eastAsia="仿宋"/>
                <w:sz w:val="24"/>
                <w:szCs w:val="24"/>
              </w:rPr>
            </w:pPr>
            <w:r>
              <w:rPr>
                <w:rFonts w:hint="eastAsia" w:eastAsia="仿宋"/>
                <w:sz w:val="24"/>
                <w:szCs w:val="24"/>
              </w:rPr>
              <w:t>优秀</w:t>
            </w:r>
          </w:p>
          <w:p>
            <w:pPr>
              <w:jc w:val="center"/>
              <w:rPr>
                <w:rFonts w:eastAsia="仿宋"/>
                <w:sz w:val="24"/>
                <w:szCs w:val="24"/>
              </w:rPr>
            </w:pPr>
            <w:r>
              <w:rPr>
                <w:rFonts w:hint="eastAsia" w:eastAsia="仿宋"/>
                <w:sz w:val="24"/>
                <w:szCs w:val="24"/>
              </w:rPr>
              <w:t>党员</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事迹</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红色故事会：追忆前辈人生坐标——毛泽民烈士的英雄事迹</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曹  宏</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毛泽民烈士外孙、国防大学图书馆退休副研究员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李萌—环卫天使</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隋耀达-扶贫“硬汉”</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专题片</w:t>
            </w:r>
          </w:p>
        </w:tc>
        <w:tc>
          <w:tcPr>
            <w:tcW w:w="2517" w:type="dxa"/>
            <w:vAlign w:val="center"/>
          </w:tcPr>
          <w:p>
            <w:pPr>
              <w:textAlignment w:val="center"/>
              <w:rPr>
                <w:rFonts w:eastAsia="仿宋"/>
                <w:color w:val="000000"/>
                <w:kern w:val="0"/>
                <w:sz w:val="24"/>
                <w:szCs w:val="24"/>
              </w:rPr>
            </w:pPr>
          </w:p>
        </w:tc>
      </w:tr>
    </w:tbl>
    <w:p>
      <w:pPr>
        <w:pStyle w:val="2"/>
        <w:spacing w:before="12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预备党员</w:t>
      </w: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eastAsia="仿宋"/>
                <w:b/>
                <w:bCs/>
                <w:color w:val="000000"/>
                <w:sz w:val="24"/>
                <w:szCs w:val="24"/>
              </w:rPr>
            </w:pPr>
            <w:r>
              <w:rPr>
                <w:rFonts w:eastAsia="仿宋"/>
                <w:b/>
                <w:bCs/>
                <w:color w:val="000000"/>
                <w:sz w:val="24"/>
                <w:szCs w:val="24"/>
              </w:rPr>
              <w:t>课程</w:t>
            </w:r>
          </w:p>
          <w:p>
            <w:pPr>
              <w:jc w:val="center"/>
              <w:rPr>
                <w:rFonts w:eastAsia="仿宋"/>
                <w:b/>
                <w:bCs/>
                <w:color w:val="000000"/>
                <w:sz w:val="24"/>
                <w:szCs w:val="24"/>
              </w:rPr>
            </w:pPr>
            <w:r>
              <w:rPr>
                <w:rFonts w:eastAsia="仿宋"/>
                <w:b/>
                <w:bCs/>
                <w:color w:val="000000"/>
                <w:sz w:val="24"/>
                <w:szCs w:val="24"/>
              </w:rPr>
              <w:t>模块</w:t>
            </w:r>
          </w:p>
        </w:tc>
        <w:tc>
          <w:tcPr>
            <w:tcW w:w="4320" w:type="dxa"/>
            <w:vAlign w:val="center"/>
          </w:tcPr>
          <w:p>
            <w:pPr>
              <w:jc w:val="center"/>
              <w:rPr>
                <w:rFonts w:eastAsia="仿宋"/>
                <w:b/>
                <w:bCs/>
                <w:color w:val="000000"/>
                <w:sz w:val="24"/>
                <w:szCs w:val="24"/>
              </w:rPr>
            </w:pPr>
            <w:r>
              <w:rPr>
                <w:rFonts w:eastAsia="仿宋"/>
                <w:b/>
                <w:bCs/>
                <w:color w:val="000000"/>
                <w:sz w:val="24"/>
                <w:szCs w:val="24"/>
              </w:rPr>
              <w:t>课程名称</w:t>
            </w:r>
          </w:p>
        </w:tc>
        <w:tc>
          <w:tcPr>
            <w:tcW w:w="941" w:type="dxa"/>
            <w:vAlign w:val="center"/>
          </w:tcPr>
          <w:p>
            <w:pPr>
              <w:jc w:val="center"/>
              <w:rPr>
                <w:rFonts w:eastAsia="仿宋"/>
                <w:b/>
                <w:bCs/>
                <w:color w:val="000000"/>
                <w:sz w:val="24"/>
                <w:szCs w:val="24"/>
              </w:rPr>
            </w:pPr>
            <w:r>
              <w:rPr>
                <w:rFonts w:eastAsia="仿宋"/>
                <w:b/>
                <w:bCs/>
                <w:color w:val="000000"/>
                <w:sz w:val="24"/>
                <w:szCs w:val="24"/>
              </w:rPr>
              <w:t>主讲人</w:t>
            </w:r>
          </w:p>
        </w:tc>
        <w:tc>
          <w:tcPr>
            <w:tcW w:w="2517" w:type="dxa"/>
            <w:vAlign w:val="center"/>
          </w:tcPr>
          <w:p>
            <w:pPr>
              <w:jc w:val="center"/>
              <w:rPr>
                <w:rFonts w:eastAsia="仿宋"/>
                <w:b/>
                <w:bCs/>
                <w:color w:val="000000"/>
                <w:sz w:val="24"/>
                <w:szCs w:val="24"/>
              </w:rPr>
            </w:pPr>
            <w:r>
              <w:rPr>
                <w:rFonts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jc w:val="center"/>
              <w:rPr>
                <w:rFonts w:eastAsia="仿宋"/>
                <w:color w:val="000000" w:themeColor="text1"/>
                <w:sz w:val="24"/>
                <w:szCs w:val="24"/>
                <w14:textFill>
                  <w14:solidFill>
                    <w14:schemeClr w14:val="tx1"/>
                  </w14:solidFill>
                </w14:textFill>
              </w:rPr>
            </w:pP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习近平新时代中国</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特色</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社会</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主义</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理论</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开辟“中国之治”新境界——十九届四中全会总体精神解读</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许耀桐</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“八个明确”“十四个坚持”的科学体系和丰富内涵</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侯衍社</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41" w:type="dxa"/>
            <w:vMerge w:val="continue"/>
          </w:tcPr>
          <w:p>
            <w:pPr>
              <w:spacing w:line="360" w:lineRule="auto"/>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开启全面建设社会主义现代化国家新征程—关于新时代坚持和发展中国特色社会主义的战略安排</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徐庆红</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北京化工大学教授</w:t>
            </w:r>
          </w:p>
        </w:tc>
      </w:tr>
      <w:tr>
        <w:tblPrEx>
          <w:tblCellMar>
            <w:top w:w="0" w:type="dxa"/>
            <w:left w:w="108" w:type="dxa"/>
            <w:bottom w:w="0" w:type="dxa"/>
            <w:right w:w="108" w:type="dxa"/>
          </w:tblCellMar>
        </w:tblPrEx>
        <w:trPr>
          <w:trHeight w:val="622" w:hRule="atLeast"/>
        </w:trPr>
        <w:tc>
          <w:tcPr>
            <w:tcW w:w="941" w:type="dxa"/>
            <w:vMerge w:val="continue"/>
          </w:tcPr>
          <w:p>
            <w:pPr>
              <w:spacing w:line="360" w:lineRule="auto"/>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中国共产党领导是中国特色社会主义最本质特征—关于新时代坚持和发展中国特色社会主义的领导力量</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徐庆红</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41" w:type="dxa"/>
            <w:vMerge w:val="continue"/>
          </w:tcPr>
          <w:p>
            <w:pPr>
              <w:spacing w:line="360" w:lineRule="auto"/>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坚定文化自信 推动社会主义文化强国建设</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范玉刚</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41" w:type="dxa"/>
            <w:vMerge w:val="continue"/>
          </w:tcPr>
          <w:p>
            <w:pPr>
              <w:spacing w:line="360" w:lineRule="auto"/>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习近平的政治哲学观</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冯颜利</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中国社会科学院哲学所副所长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pStyle w:val="2"/>
              <w:rPr>
                <w:rFonts w:ascii="Times New Roman" w:hAnsi="Times New Roman"/>
                <w:sz w:val="24"/>
                <w:szCs w:val="24"/>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习式“矛盾”论：正确处理“五对矛盾”</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微  课</w:t>
            </w:r>
          </w:p>
        </w:tc>
        <w:tc>
          <w:tcPr>
            <w:tcW w:w="2517" w:type="dxa"/>
            <w:vAlign w:val="center"/>
          </w:tcPr>
          <w:p>
            <w:pPr>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党史</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国史</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新中国70年发展与中国共产党的领导</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徐  斌</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1" w:type="dxa"/>
            <w:vMerge w:val="continue"/>
            <w:vAlign w:val="center"/>
          </w:tcPr>
          <w:p>
            <w:pPr>
              <w:widowControl/>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从“一边倒”到“大国外交”——建国70周年新中国外交战略的演变及经验总结</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宋  伟</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Align w:val="center"/>
          </w:tcPr>
          <w:p>
            <w:pPr>
              <w:widowControl/>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课程</w:t>
            </w:r>
          </w:p>
          <w:p>
            <w:pPr>
              <w:widowControl/>
              <w:jc w:val="center"/>
              <w:rPr>
                <w:rFonts w:eastAsia="仿宋"/>
                <w:b/>
                <w:bCs/>
                <w:color w:val="000000" w:themeColor="text1"/>
                <w:sz w:val="24"/>
                <w:szCs w:val="24"/>
                <w14:textFill>
                  <w14:solidFill>
                    <w14:schemeClr w14:val="tx1"/>
                  </w14:solidFill>
                </w14:textFill>
              </w:rPr>
            </w:pPr>
            <w:r>
              <w:rPr>
                <w:rFonts w:hint="eastAsia" w:eastAsia="仿宋"/>
                <w:b/>
                <w:bCs/>
                <w:color w:val="000000" w:themeColor="text1"/>
                <w:sz w:val="24"/>
                <w:szCs w:val="24"/>
                <w14:textFill>
                  <w14:solidFill>
                    <w14:schemeClr w14:val="tx1"/>
                  </w14:solidFill>
                </w14:textFill>
              </w:rPr>
              <w:t>模块</w:t>
            </w:r>
          </w:p>
        </w:tc>
        <w:tc>
          <w:tcPr>
            <w:tcW w:w="4320"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课程名称</w:t>
            </w:r>
          </w:p>
        </w:tc>
        <w:tc>
          <w:tcPr>
            <w:tcW w:w="941"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主讲人</w:t>
            </w:r>
          </w:p>
        </w:tc>
        <w:tc>
          <w:tcPr>
            <w:tcW w:w="2517" w:type="dxa"/>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1" w:type="dxa"/>
            <w:vMerge w:val="restart"/>
            <w:vAlign w:val="center"/>
          </w:tcPr>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党史</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国史</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中国改革40年若干深层理论思考</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常修泽</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中国宏观经济研究院教授、清华大学中国经济研究中心研究员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铭记瑞金：第一个全国性红色政权</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戴立兴</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1" w:type="dxa"/>
            <w:vMerge w:val="continue"/>
            <w:vAlign w:val="center"/>
          </w:tcPr>
          <w:p>
            <w:pPr>
              <w:widowControl/>
              <w:jc w:val="center"/>
              <w:rPr>
                <w:rFonts w:eastAsia="仿宋"/>
                <w:color w:val="000000" w:themeColor="text1"/>
                <w:sz w:val="24"/>
                <w:szCs w:val="24"/>
                <w14:textFill>
                  <w14:solidFill>
                    <w14:schemeClr w14:val="tx1"/>
                  </w14:solidFill>
                </w14:textFill>
              </w:rPr>
            </w:pP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从历史转折看党的初心和使命</w:t>
            </w:r>
          </w:p>
        </w:tc>
        <w:tc>
          <w:tcPr>
            <w:tcW w:w="941" w:type="dxa"/>
            <w:vAlign w:val="center"/>
          </w:tcPr>
          <w:p>
            <w:pPr>
              <w:jc w:val="center"/>
              <w:textAlignment w:val="center"/>
              <w:rPr>
                <w:rFonts w:eastAsia="仿宋"/>
                <w:color w:val="000000"/>
                <w:kern w:val="0"/>
                <w:sz w:val="24"/>
                <w:szCs w:val="24"/>
              </w:rPr>
            </w:pPr>
            <w:r>
              <w:rPr>
                <w:rFonts w:hint="eastAsia" w:eastAsia="仿宋"/>
                <w:color w:val="000000"/>
                <w:kern w:val="0"/>
                <w:sz w:val="24"/>
                <w:szCs w:val="24"/>
              </w:rPr>
              <w:t>王炳林</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教育部高等学校社会科学发展研究中心</w:t>
            </w:r>
          </w:p>
          <w:p>
            <w:pPr>
              <w:textAlignment w:val="center"/>
              <w:rPr>
                <w:rFonts w:eastAsia="仿宋"/>
                <w:color w:val="000000"/>
                <w:kern w:val="0"/>
                <w:sz w:val="24"/>
                <w:szCs w:val="24"/>
              </w:rPr>
            </w:pPr>
            <w:r>
              <w:rPr>
                <w:rFonts w:hint="eastAsia" w:eastAsia="仿宋"/>
                <w:color w:val="000000"/>
                <w:kern w:val="0"/>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党纪</w:t>
            </w:r>
          </w:p>
          <w:p>
            <w:pPr>
              <w:widowControl/>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党规</w:t>
            </w:r>
          </w:p>
        </w:tc>
        <w:tc>
          <w:tcPr>
            <w:tcW w:w="4320" w:type="dxa"/>
            <w:vAlign w:val="center"/>
          </w:tcPr>
          <w:p>
            <w:pPr>
              <w:widowControl/>
              <w:jc w:val="left"/>
              <w:textAlignment w:val="center"/>
              <w:rPr>
                <w:rStyle w:val="6"/>
                <w:sz w:val="24"/>
                <w:szCs w:val="24"/>
              </w:rPr>
            </w:pPr>
            <w:r>
              <w:rPr>
                <w:rStyle w:val="6"/>
                <w:rFonts w:hint="eastAsia"/>
                <w:sz w:val="24"/>
                <w:szCs w:val="24"/>
              </w:rPr>
              <w:t>新版《中国共产党纪律处分条例》解读</w:t>
            </w:r>
          </w:p>
        </w:tc>
        <w:tc>
          <w:tcPr>
            <w:tcW w:w="941" w:type="dxa"/>
            <w:vAlign w:val="center"/>
          </w:tcPr>
          <w:p>
            <w:pPr>
              <w:widowControl/>
              <w:jc w:val="center"/>
              <w:textAlignment w:val="center"/>
              <w:rPr>
                <w:rFonts w:eastAsia="仿宋"/>
                <w:color w:val="000000"/>
                <w:kern w:val="0"/>
                <w:sz w:val="24"/>
                <w:szCs w:val="24"/>
              </w:rPr>
            </w:pPr>
            <w:r>
              <w:rPr>
                <w:rFonts w:eastAsia="仿宋"/>
                <w:color w:val="000000" w:themeColor="text1"/>
                <w:kern w:val="0"/>
                <w:sz w:val="24"/>
                <w:szCs w:val="24"/>
                <w14:textFill>
                  <w14:solidFill>
                    <w14:schemeClr w14:val="tx1"/>
                  </w14:solidFill>
                </w14:textFill>
              </w:rPr>
              <w:t>刘  春</w:t>
            </w:r>
          </w:p>
        </w:tc>
        <w:tc>
          <w:tcPr>
            <w:tcW w:w="2517" w:type="dxa"/>
            <w:vAlign w:val="center"/>
          </w:tcPr>
          <w:p>
            <w:pPr>
              <w:widowControl/>
              <w:jc w:val="left"/>
              <w:textAlignment w:val="center"/>
              <w:rPr>
                <w:rFonts w:eastAsia="仿宋"/>
                <w:color w:val="000000"/>
                <w:kern w:val="0"/>
                <w:sz w:val="24"/>
                <w:szCs w:val="24"/>
              </w:rPr>
            </w:pPr>
            <w:r>
              <w:rPr>
                <w:rFonts w:eastAsia="仿宋"/>
                <w:color w:val="000000"/>
                <w:kern w:val="0"/>
                <w:sz w:val="24"/>
                <w:szCs w:val="24"/>
              </w:rPr>
              <w:t>中共中央党校</w:t>
            </w:r>
            <w:r>
              <w:rPr>
                <w:rFonts w:hint="eastAsia"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6"/>
                <w:sz w:val="24"/>
                <w:szCs w:val="24"/>
              </w:rPr>
            </w:pPr>
            <w:r>
              <w:rPr>
                <w:rStyle w:val="6"/>
                <w:sz w:val="24"/>
                <w:szCs w:val="24"/>
              </w:rPr>
              <w:t>《中国共产党党内监督条例》系列</w:t>
            </w:r>
          </w:p>
          <w:p>
            <w:pPr>
              <w:widowControl/>
              <w:jc w:val="left"/>
              <w:textAlignment w:val="bottom"/>
              <w:rPr>
                <w:rStyle w:val="6"/>
                <w:sz w:val="24"/>
                <w:szCs w:val="24"/>
              </w:rPr>
            </w:pPr>
            <w:r>
              <w:rPr>
                <w:rStyle w:val="6"/>
                <w:sz w:val="24"/>
                <w:szCs w:val="24"/>
              </w:rPr>
              <w:t>微课</w:t>
            </w:r>
          </w:p>
        </w:tc>
        <w:tc>
          <w:tcPr>
            <w:tcW w:w="941" w:type="dxa"/>
            <w:vAlign w:val="center"/>
          </w:tcPr>
          <w:p>
            <w:pPr>
              <w:widowControl/>
              <w:jc w:val="center"/>
              <w:textAlignment w:val="center"/>
              <w:rPr>
                <w:rFonts w:eastAsia="仿宋"/>
                <w:color w:val="000000"/>
                <w:kern w:val="0"/>
                <w:sz w:val="24"/>
                <w:szCs w:val="24"/>
              </w:rPr>
            </w:pPr>
            <w:r>
              <w:rPr>
                <w:rFonts w:eastAsia="仿宋"/>
                <w:color w:val="000000"/>
                <w:kern w:val="0"/>
                <w:sz w:val="24"/>
                <w:szCs w:val="24"/>
              </w:rPr>
              <w:t>微  课</w:t>
            </w:r>
          </w:p>
        </w:tc>
        <w:tc>
          <w:tcPr>
            <w:tcW w:w="2517" w:type="dxa"/>
            <w:vAlign w:val="center"/>
          </w:tcPr>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6"/>
                <w:sz w:val="24"/>
                <w:szCs w:val="24"/>
              </w:rPr>
            </w:pPr>
            <w:r>
              <w:rPr>
                <w:rStyle w:val="6"/>
                <w:sz w:val="24"/>
                <w:szCs w:val="24"/>
              </w:rPr>
              <w:t>《关于新形势下党内政治生活的若干准则》系列微课</w:t>
            </w:r>
          </w:p>
        </w:tc>
        <w:tc>
          <w:tcPr>
            <w:tcW w:w="941" w:type="dxa"/>
            <w:vAlign w:val="center"/>
          </w:tcPr>
          <w:p>
            <w:pPr>
              <w:widowControl/>
              <w:jc w:val="center"/>
              <w:textAlignment w:val="center"/>
              <w:rPr>
                <w:rFonts w:eastAsia="仿宋"/>
                <w:color w:val="000000"/>
                <w:kern w:val="0"/>
                <w:sz w:val="24"/>
                <w:szCs w:val="24"/>
              </w:rPr>
            </w:pPr>
            <w:r>
              <w:rPr>
                <w:rFonts w:eastAsia="仿宋"/>
                <w:color w:val="000000"/>
                <w:kern w:val="0"/>
                <w:sz w:val="24"/>
                <w:szCs w:val="24"/>
              </w:rPr>
              <w:t>微  课</w:t>
            </w:r>
          </w:p>
        </w:tc>
        <w:tc>
          <w:tcPr>
            <w:tcW w:w="2517" w:type="dxa"/>
            <w:vAlign w:val="center"/>
          </w:tcPr>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6"/>
                <w:sz w:val="24"/>
                <w:szCs w:val="24"/>
              </w:rPr>
            </w:pPr>
            <w:r>
              <w:rPr>
                <w:rStyle w:val="6"/>
                <w:rFonts w:hint="eastAsia"/>
                <w:sz w:val="24"/>
                <w:szCs w:val="24"/>
              </w:rPr>
              <w:t>夯实基层党建最后一公里——学习解读《中国共产党党员教育管理工作条例》</w:t>
            </w:r>
          </w:p>
        </w:tc>
        <w:tc>
          <w:tcPr>
            <w:tcW w:w="941" w:type="dxa"/>
            <w:vAlign w:val="center"/>
          </w:tcPr>
          <w:p>
            <w:pPr>
              <w:widowControl/>
              <w:jc w:val="center"/>
              <w:textAlignment w:val="bottom"/>
              <w:rPr>
                <w:rStyle w:val="6"/>
                <w:sz w:val="24"/>
                <w:szCs w:val="24"/>
              </w:rPr>
            </w:pPr>
            <w:r>
              <w:rPr>
                <w:rStyle w:val="6"/>
                <w:rFonts w:hint="eastAsia"/>
                <w:sz w:val="24"/>
                <w:szCs w:val="24"/>
              </w:rPr>
              <w:t>陈冬生</w:t>
            </w:r>
          </w:p>
        </w:tc>
        <w:tc>
          <w:tcPr>
            <w:tcW w:w="2517" w:type="dxa"/>
            <w:vAlign w:val="center"/>
          </w:tcPr>
          <w:p>
            <w:pPr>
              <w:widowControl/>
              <w:jc w:val="left"/>
              <w:textAlignment w:val="bottom"/>
              <w:rPr>
                <w:rStyle w:val="6"/>
                <w:sz w:val="24"/>
                <w:szCs w:val="24"/>
              </w:rPr>
            </w:pPr>
            <w:r>
              <w:rPr>
                <w:rStyle w:val="6"/>
                <w:rFonts w:hint="eastAsia"/>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restart"/>
            <w:vAlign w:val="center"/>
          </w:tcPr>
          <w:p>
            <w:pPr>
              <w:jc w:val="center"/>
              <w:rPr>
                <w:rFonts w:eastAsia="仿宋"/>
                <w:sz w:val="24"/>
                <w:szCs w:val="24"/>
              </w:rPr>
            </w:pPr>
            <w:r>
              <w:rPr>
                <w:rFonts w:eastAsia="仿宋"/>
                <w:sz w:val="24"/>
                <w:szCs w:val="24"/>
              </w:rPr>
              <w:t>预备</w:t>
            </w:r>
          </w:p>
          <w:p>
            <w:pPr>
              <w:jc w:val="center"/>
              <w:rPr>
                <w:rFonts w:eastAsia="仿宋"/>
                <w:sz w:val="24"/>
                <w:szCs w:val="24"/>
              </w:rPr>
            </w:pPr>
            <w:r>
              <w:rPr>
                <w:rFonts w:eastAsia="仿宋"/>
                <w:sz w:val="24"/>
                <w:szCs w:val="24"/>
              </w:rPr>
              <w:t>党员</w:t>
            </w:r>
          </w:p>
          <w:p>
            <w:pPr>
              <w:jc w:val="center"/>
              <w:rPr>
                <w:rFonts w:eastAsia="仿宋"/>
                <w:sz w:val="24"/>
                <w:szCs w:val="24"/>
              </w:rPr>
            </w:pPr>
            <w:r>
              <w:rPr>
                <w:rFonts w:hint="eastAsia" w:eastAsia="仿宋"/>
                <w:sz w:val="24"/>
                <w:szCs w:val="24"/>
              </w:rPr>
              <w:t>的教育考察和转正</w:t>
            </w:r>
          </w:p>
        </w:tc>
        <w:tc>
          <w:tcPr>
            <w:tcW w:w="4320" w:type="dxa"/>
            <w:shd w:val="clear" w:color="auto" w:fill="auto"/>
            <w:vAlign w:val="center"/>
          </w:tcPr>
          <w:p>
            <w:pPr>
              <w:widowControl/>
              <w:textAlignment w:val="bottom"/>
              <w:rPr>
                <w:rStyle w:val="6"/>
                <w:sz w:val="24"/>
                <w:szCs w:val="24"/>
              </w:rPr>
            </w:pPr>
            <w:r>
              <w:rPr>
                <w:rStyle w:val="6"/>
                <w:sz w:val="24"/>
                <w:szCs w:val="24"/>
              </w:rPr>
              <w:t>党员预备期的含义与意义</w:t>
            </w:r>
          </w:p>
        </w:tc>
        <w:tc>
          <w:tcPr>
            <w:tcW w:w="941" w:type="dxa"/>
            <w:vMerge w:val="restart"/>
            <w:shd w:val="clear" w:color="auto" w:fill="auto"/>
            <w:vAlign w:val="center"/>
          </w:tcPr>
          <w:p>
            <w:pPr>
              <w:widowControl/>
              <w:jc w:val="center"/>
              <w:textAlignment w:val="center"/>
              <w:rPr>
                <w:rFonts w:eastAsia="仿宋"/>
                <w:color w:val="000000"/>
                <w:kern w:val="0"/>
                <w:sz w:val="24"/>
                <w:szCs w:val="24"/>
              </w:rPr>
            </w:pPr>
            <w:r>
              <w:rPr>
                <w:rFonts w:eastAsia="仿宋"/>
                <w:color w:val="000000"/>
                <w:kern w:val="0"/>
                <w:sz w:val="24"/>
                <w:szCs w:val="24"/>
              </w:rPr>
              <w:t>微  课</w:t>
            </w:r>
          </w:p>
          <w:p>
            <w:pPr>
              <w:widowControl/>
              <w:jc w:val="center"/>
              <w:textAlignment w:val="center"/>
              <w:rPr>
                <w:rFonts w:eastAsia="仿宋"/>
                <w:color w:val="000000"/>
                <w:kern w:val="0"/>
                <w:sz w:val="24"/>
                <w:szCs w:val="24"/>
              </w:rPr>
            </w:pPr>
          </w:p>
        </w:tc>
        <w:tc>
          <w:tcPr>
            <w:tcW w:w="2517" w:type="dxa"/>
            <w:vMerge w:val="restart"/>
            <w:shd w:val="clear" w:color="auto" w:fill="auto"/>
            <w:vAlign w:val="center"/>
          </w:tcPr>
          <w:p>
            <w:pPr>
              <w:widowControl/>
              <w:jc w:val="left"/>
              <w:textAlignment w:val="center"/>
              <w:rPr>
                <w:rStyle w:val="6"/>
                <w:sz w:val="24"/>
                <w:szCs w:val="24"/>
              </w:rPr>
            </w:pPr>
            <w:r>
              <w:rPr>
                <w:rStyle w:val="6"/>
                <w:sz w:val="24"/>
                <w:szCs w:val="24"/>
              </w:rPr>
              <w:t>高校大学生预备党员系列微课</w:t>
            </w:r>
          </w:p>
          <w:p>
            <w:pPr>
              <w:jc w:val="left"/>
              <w:rPr>
                <w:rFonts w:eastAsia="仿宋"/>
                <w:color w:val="000000"/>
                <w:kern w:val="0"/>
                <w:sz w:val="24"/>
                <w:szCs w:val="24"/>
              </w:rPr>
            </w:pPr>
          </w:p>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预备期的重要性</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预备党员的教育</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预备党员的考察</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预备党员的转正</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转正申请的写法和要求</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入党宣誓的重要意义</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widowControl/>
              <w:jc w:val="left"/>
              <w:textAlignment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入党宣誓仪式</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如何提高预备党员的核心素质</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准确掌握共产党员的标准</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照一照“党员标准”这面镜子</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jc w:val="center"/>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1" w:type="dxa"/>
            <w:vMerge w:val="continue"/>
            <w:vAlign w:val="center"/>
          </w:tcPr>
          <w:p>
            <w:pPr>
              <w:widowControl/>
              <w:spacing w:line="360" w:lineRule="auto"/>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以实际行动，争取早日入党</w:t>
            </w:r>
          </w:p>
        </w:tc>
        <w:tc>
          <w:tcPr>
            <w:tcW w:w="941" w:type="dxa"/>
            <w:vMerge w:val="continue"/>
            <w:shd w:val="clear" w:color="auto" w:fill="auto"/>
            <w:vAlign w:val="center"/>
          </w:tcPr>
          <w:p>
            <w:pPr>
              <w:widowControl/>
              <w:jc w:val="center"/>
              <w:textAlignment w:val="center"/>
              <w:rPr>
                <w:rFonts w:eastAsia="仿宋"/>
                <w:color w:val="000000"/>
                <w:kern w:val="0"/>
                <w:sz w:val="24"/>
                <w:szCs w:val="24"/>
              </w:rPr>
            </w:pPr>
          </w:p>
        </w:tc>
        <w:tc>
          <w:tcPr>
            <w:tcW w:w="2517" w:type="dxa"/>
            <w:vMerge w:val="continue"/>
            <w:shd w:val="clear" w:color="auto" w:fill="auto"/>
            <w:vAlign w:val="center"/>
          </w:tcPr>
          <w:p>
            <w:pPr>
              <w:jc w:val="left"/>
              <w:rPr>
                <w:rFonts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pStyle w:val="2"/>
              <w:spacing w:before="0" w:after="0" w:line="240" w:lineRule="auto"/>
              <w:jc w:val="center"/>
              <w:rPr>
                <w:rFonts w:ascii="Times New Roman" w:hAnsi="Times New Roman" w:eastAsia="仿宋"/>
                <w:b w:val="0"/>
                <w:bCs w:val="0"/>
                <w:kern w:val="2"/>
                <w:sz w:val="24"/>
                <w:szCs w:val="24"/>
              </w:rPr>
            </w:pPr>
            <w:r>
              <w:rPr>
                <w:rFonts w:ascii="Times New Roman" w:hAnsi="Times New Roman" w:eastAsia="仿宋"/>
                <w:b w:val="0"/>
                <w:bCs w:val="0"/>
                <w:kern w:val="2"/>
                <w:sz w:val="24"/>
                <w:szCs w:val="24"/>
              </w:rPr>
              <w:t>党性</w:t>
            </w:r>
          </w:p>
          <w:p>
            <w:pPr>
              <w:pStyle w:val="2"/>
              <w:spacing w:before="0" w:after="0" w:line="240" w:lineRule="auto"/>
              <w:jc w:val="center"/>
              <w:rPr>
                <w:rFonts w:ascii="Times New Roman" w:hAnsi="Times New Roman" w:eastAsia="仿宋"/>
                <w:b w:val="0"/>
                <w:bCs w:val="0"/>
                <w:kern w:val="2"/>
                <w:sz w:val="24"/>
                <w:szCs w:val="24"/>
              </w:rPr>
            </w:pPr>
            <w:r>
              <w:rPr>
                <w:rFonts w:ascii="Times New Roman" w:hAnsi="Times New Roman" w:eastAsia="仿宋"/>
                <w:b w:val="0"/>
                <w:bCs w:val="0"/>
                <w:kern w:val="2"/>
                <w:sz w:val="24"/>
                <w:szCs w:val="24"/>
              </w:rPr>
              <w:t>修养</w:t>
            </w:r>
          </w:p>
          <w:p>
            <w:pPr>
              <w:jc w:val="center"/>
              <w:rPr>
                <w:rFonts w:eastAsia="仿宋"/>
                <w:sz w:val="24"/>
                <w:szCs w:val="24"/>
              </w:rPr>
            </w:pPr>
            <w:r>
              <w:rPr>
                <w:rFonts w:eastAsia="仿宋"/>
                <w:sz w:val="24"/>
                <w:szCs w:val="24"/>
              </w:rPr>
              <w:t>提升</w:t>
            </w:r>
          </w:p>
        </w:tc>
        <w:tc>
          <w:tcPr>
            <w:tcW w:w="4320" w:type="dxa"/>
            <w:shd w:val="clear" w:color="auto" w:fill="auto"/>
            <w:vAlign w:val="center"/>
          </w:tcPr>
          <w:p>
            <w:pPr>
              <w:widowControl/>
              <w:textAlignment w:val="bottom"/>
              <w:rPr>
                <w:rFonts w:eastAsia="仿宋"/>
                <w:color w:val="000000"/>
                <w:sz w:val="24"/>
                <w:szCs w:val="24"/>
              </w:rPr>
            </w:pPr>
            <w:r>
              <w:rPr>
                <w:rStyle w:val="6"/>
                <w:rFonts w:hint="eastAsia"/>
                <w:sz w:val="24"/>
                <w:szCs w:val="24"/>
              </w:rPr>
              <w:t>党性修养——共产党员的一门必修课</w:t>
            </w:r>
          </w:p>
        </w:tc>
        <w:tc>
          <w:tcPr>
            <w:tcW w:w="941" w:type="dxa"/>
            <w:shd w:val="clear" w:color="auto" w:fill="auto"/>
            <w:vAlign w:val="center"/>
          </w:tcPr>
          <w:p>
            <w:pPr>
              <w:widowControl/>
              <w:jc w:val="center"/>
              <w:textAlignment w:val="bottom"/>
              <w:rPr>
                <w:rFonts w:eastAsia="仿宋"/>
                <w:color w:val="000000"/>
                <w:sz w:val="24"/>
                <w:szCs w:val="24"/>
              </w:rPr>
            </w:pPr>
            <w:r>
              <w:rPr>
                <w:rStyle w:val="6"/>
                <w:rFonts w:hint="eastAsia"/>
                <w:sz w:val="24"/>
                <w:szCs w:val="24"/>
              </w:rPr>
              <w:t>石国亮</w:t>
            </w:r>
          </w:p>
        </w:tc>
        <w:tc>
          <w:tcPr>
            <w:tcW w:w="2517" w:type="dxa"/>
            <w:shd w:val="clear" w:color="auto" w:fill="auto"/>
            <w:vAlign w:val="center"/>
          </w:tcPr>
          <w:p>
            <w:pPr>
              <w:widowControl/>
              <w:textAlignment w:val="bottom"/>
              <w:rPr>
                <w:rFonts w:eastAsia="仿宋"/>
                <w:color w:val="000000"/>
                <w:sz w:val="24"/>
                <w:szCs w:val="24"/>
              </w:rPr>
            </w:pPr>
            <w:r>
              <w:rPr>
                <w:rStyle w:val="6"/>
                <w:rFonts w:hint="eastAsia"/>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shd w:val="clear" w:color="auto" w:fill="auto"/>
            <w:vAlign w:val="center"/>
          </w:tcPr>
          <w:p>
            <w:pPr>
              <w:widowControl/>
              <w:textAlignment w:val="bottom"/>
              <w:rPr>
                <w:rFonts w:eastAsia="仿宋"/>
                <w:color w:val="000000"/>
                <w:sz w:val="24"/>
                <w:szCs w:val="24"/>
              </w:rPr>
            </w:pPr>
            <w:r>
              <w:rPr>
                <w:rStyle w:val="6"/>
                <w:rFonts w:hint="eastAsia"/>
                <w:sz w:val="24"/>
                <w:szCs w:val="24"/>
              </w:rPr>
              <w:t>铭记五四运动，传承五四精神</w:t>
            </w:r>
          </w:p>
        </w:tc>
        <w:tc>
          <w:tcPr>
            <w:tcW w:w="941" w:type="dxa"/>
            <w:shd w:val="clear" w:color="auto" w:fill="auto"/>
            <w:vAlign w:val="center"/>
          </w:tcPr>
          <w:p>
            <w:pPr>
              <w:widowControl/>
              <w:jc w:val="center"/>
              <w:textAlignment w:val="bottom"/>
              <w:rPr>
                <w:rFonts w:eastAsia="仿宋"/>
                <w:color w:val="000000"/>
                <w:sz w:val="24"/>
                <w:szCs w:val="24"/>
              </w:rPr>
            </w:pPr>
            <w:r>
              <w:rPr>
                <w:rStyle w:val="6"/>
                <w:rFonts w:hint="eastAsia"/>
                <w:sz w:val="24"/>
                <w:szCs w:val="24"/>
              </w:rPr>
              <w:t>胡献忠</w:t>
            </w:r>
          </w:p>
        </w:tc>
        <w:tc>
          <w:tcPr>
            <w:tcW w:w="2517" w:type="dxa"/>
            <w:shd w:val="clear" w:color="auto" w:fill="auto"/>
            <w:vAlign w:val="center"/>
          </w:tcPr>
          <w:p>
            <w:pPr>
              <w:widowControl/>
              <w:textAlignment w:val="bottom"/>
              <w:rPr>
                <w:rFonts w:eastAsia="仿宋"/>
                <w:color w:val="000000"/>
                <w:sz w:val="24"/>
                <w:szCs w:val="24"/>
              </w:rPr>
            </w:pPr>
            <w:r>
              <w:rPr>
                <w:rStyle w:val="6"/>
                <w:rFonts w:hint="eastAsia"/>
                <w:sz w:val="24"/>
                <w:szCs w:val="24"/>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shd w:val="clear" w:color="auto" w:fill="auto"/>
            <w:vAlign w:val="center"/>
          </w:tcPr>
          <w:p>
            <w:pPr>
              <w:widowControl/>
              <w:textAlignment w:val="bottom"/>
              <w:rPr>
                <w:rFonts w:eastAsia="仿宋"/>
                <w:color w:val="000000"/>
                <w:sz w:val="24"/>
                <w:szCs w:val="24"/>
              </w:rPr>
            </w:pPr>
            <w:r>
              <w:rPr>
                <w:rStyle w:val="6"/>
                <w:rFonts w:hint="eastAsia"/>
                <w:sz w:val="24"/>
                <w:szCs w:val="24"/>
              </w:rPr>
              <w:t>“互联网+”背景下历史虚无主义的危害及应对</w:t>
            </w:r>
          </w:p>
        </w:tc>
        <w:tc>
          <w:tcPr>
            <w:tcW w:w="941" w:type="dxa"/>
            <w:shd w:val="clear" w:color="auto" w:fill="auto"/>
            <w:vAlign w:val="center"/>
          </w:tcPr>
          <w:p>
            <w:pPr>
              <w:widowControl/>
              <w:jc w:val="center"/>
              <w:textAlignment w:val="bottom"/>
              <w:rPr>
                <w:rFonts w:eastAsia="仿宋"/>
                <w:color w:val="000000"/>
                <w:sz w:val="24"/>
                <w:szCs w:val="24"/>
              </w:rPr>
            </w:pPr>
            <w:r>
              <w:rPr>
                <w:rStyle w:val="6"/>
                <w:rFonts w:hint="eastAsia"/>
                <w:sz w:val="24"/>
                <w:szCs w:val="24"/>
              </w:rPr>
              <w:t>徐鹏堂</w:t>
            </w:r>
          </w:p>
        </w:tc>
        <w:tc>
          <w:tcPr>
            <w:tcW w:w="2517" w:type="dxa"/>
            <w:shd w:val="clear" w:color="auto" w:fill="auto"/>
            <w:vAlign w:val="center"/>
          </w:tcPr>
          <w:p>
            <w:pPr>
              <w:widowControl/>
              <w:textAlignment w:val="bottom"/>
              <w:rPr>
                <w:rFonts w:eastAsia="仿宋"/>
                <w:color w:val="000000"/>
                <w:sz w:val="24"/>
                <w:szCs w:val="24"/>
              </w:rPr>
            </w:pPr>
            <w:r>
              <w:rPr>
                <w:rStyle w:val="6"/>
                <w:rFonts w:hint="eastAsia"/>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jc w:val="center"/>
              <w:rPr>
                <w:sz w:val="24"/>
                <w:szCs w:val="24"/>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从梁家河知青岁月追寻习近平的初心与使命</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夏  泉</w:t>
            </w:r>
          </w:p>
        </w:tc>
        <w:tc>
          <w:tcPr>
            <w:tcW w:w="2517" w:type="dxa"/>
            <w:shd w:val="clear" w:color="auto" w:fill="auto"/>
            <w:vAlign w:val="center"/>
          </w:tcPr>
          <w:p>
            <w:pPr>
              <w:widowControl/>
              <w:textAlignment w:val="bottom"/>
              <w:rPr>
                <w:rStyle w:val="6"/>
                <w:sz w:val="24"/>
                <w:szCs w:val="24"/>
              </w:rPr>
            </w:pPr>
            <w:r>
              <w:rPr>
                <w:rStyle w:val="6"/>
                <w:rFonts w:hint="eastAsia"/>
                <w:sz w:val="24"/>
                <w:szCs w:val="24"/>
              </w:rPr>
              <w:t>暨南大学党委副书记兼纪委书记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坚定理想信念 做忠诚的青年马克思主义者</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冯</w:t>
            </w:r>
            <w:r>
              <w:rPr>
                <w:rStyle w:val="6"/>
                <w:sz w:val="24"/>
                <w:szCs w:val="24"/>
              </w:rPr>
              <w:t xml:space="preserve">  </w:t>
            </w:r>
            <w:r>
              <w:rPr>
                <w:rStyle w:val="6"/>
                <w:rFonts w:hint="eastAsia"/>
                <w:sz w:val="24"/>
                <w:szCs w:val="24"/>
              </w:rPr>
              <w:t>培</w:t>
            </w:r>
          </w:p>
        </w:tc>
        <w:tc>
          <w:tcPr>
            <w:tcW w:w="2517" w:type="dxa"/>
            <w:shd w:val="clear" w:color="auto" w:fill="auto"/>
            <w:vAlign w:val="center"/>
          </w:tcPr>
          <w:p>
            <w:pPr>
              <w:widowControl/>
              <w:textAlignment w:val="bottom"/>
              <w:rPr>
                <w:rStyle w:val="6"/>
                <w:sz w:val="24"/>
                <w:szCs w:val="24"/>
              </w:rPr>
            </w:pPr>
            <w:r>
              <w:rPr>
                <w:rStyle w:val="6"/>
                <w:rFonts w:hint="eastAsia"/>
                <w:sz w:val="24"/>
                <w:szCs w:val="24"/>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shd w:val="clear" w:color="auto" w:fill="auto"/>
            <w:vAlign w:val="center"/>
          </w:tcPr>
          <w:p>
            <w:pPr>
              <w:widowControl/>
              <w:jc w:val="center"/>
              <w:textAlignment w:val="bottom"/>
              <w:rPr>
                <w:rStyle w:val="6"/>
                <w:b/>
                <w:bCs/>
                <w:sz w:val="24"/>
                <w:szCs w:val="24"/>
              </w:rPr>
            </w:pPr>
            <w:r>
              <w:rPr>
                <w:rStyle w:val="6"/>
                <w:rFonts w:hint="eastAsia"/>
                <w:b/>
                <w:bCs/>
                <w:sz w:val="24"/>
                <w:szCs w:val="24"/>
              </w:rPr>
              <w:t>课程名称</w:t>
            </w:r>
          </w:p>
        </w:tc>
        <w:tc>
          <w:tcPr>
            <w:tcW w:w="941" w:type="dxa"/>
            <w:shd w:val="clear" w:color="auto" w:fill="auto"/>
            <w:vAlign w:val="center"/>
          </w:tcPr>
          <w:p>
            <w:pPr>
              <w:widowControl/>
              <w:jc w:val="center"/>
              <w:textAlignment w:val="bottom"/>
              <w:rPr>
                <w:rStyle w:val="6"/>
                <w:b/>
                <w:bCs/>
                <w:sz w:val="24"/>
                <w:szCs w:val="24"/>
              </w:rPr>
            </w:pPr>
            <w:r>
              <w:rPr>
                <w:rStyle w:val="6"/>
                <w:rFonts w:hint="eastAsia"/>
                <w:b/>
                <w:bCs/>
                <w:sz w:val="24"/>
                <w:szCs w:val="24"/>
              </w:rPr>
              <w:t>主讲人</w:t>
            </w:r>
          </w:p>
        </w:tc>
        <w:tc>
          <w:tcPr>
            <w:tcW w:w="2517" w:type="dxa"/>
            <w:shd w:val="clear" w:color="auto" w:fill="auto"/>
            <w:vAlign w:val="center"/>
          </w:tcPr>
          <w:p>
            <w:pPr>
              <w:widowControl/>
              <w:jc w:val="center"/>
              <w:textAlignment w:val="bottom"/>
              <w:rPr>
                <w:rStyle w:val="6"/>
                <w:b/>
                <w:bCs/>
                <w:sz w:val="24"/>
                <w:szCs w:val="24"/>
              </w:rPr>
            </w:pPr>
            <w:r>
              <w:rPr>
                <w:rStyle w:val="6"/>
                <w:rFonts w:hint="eastAsia"/>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vAlign w:val="center"/>
          </w:tcPr>
          <w:p>
            <w:pPr>
              <w:jc w:val="center"/>
              <w:rPr>
                <w:rFonts w:eastAsia="仿宋"/>
                <w:sz w:val="24"/>
                <w:szCs w:val="24"/>
              </w:rPr>
            </w:pPr>
            <w:r>
              <w:rPr>
                <w:rFonts w:hint="eastAsia" w:eastAsia="仿宋"/>
                <w:sz w:val="24"/>
                <w:szCs w:val="24"/>
              </w:rPr>
              <w:t>优秀</w:t>
            </w:r>
          </w:p>
          <w:p>
            <w:pPr>
              <w:jc w:val="center"/>
              <w:rPr>
                <w:rFonts w:eastAsia="仿宋"/>
                <w:sz w:val="24"/>
                <w:szCs w:val="24"/>
              </w:rPr>
            </w:pPr>
            <w:r>
              <w:rPr>
                <w:rFonts w:hint="eastAsia" w:eastAsia="仿宋"/>
                <w:sz w:val="24"/>
                <w:szCs w:val="24"/>
              </w:rPr>
              <w:t>党员</w:t>
            </w:r>
          </w:p>
          <w:p>
            <w:pPr>
              <w:jc w:val="center"/>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事迹</w:t>
            </w:r>
          </w:p>
        </w:tc>
        <w:tc>
          <w:tcPr>
            <w:tcW w:w="4320" w:type="dxa"/>
            <w:shd w:val="clear" w:color="auto" w:fill="auto"/>
            <w:vAlign w:val="center"/>
          </w:tcPr>
          <w:p>
            <w:pPr>
              <w:widowControl/>
              <w:textAlignment w:val="bottom"/>
              <w:rPr>
                <w:rStyle w:val="6"/>
                <w:sz w:val="24"/>
                <w:szCs w:val="24"/>
              </w:rPr>
            </w:pPr>
            <w:r>
              <w:rPr>
                <w:rStyle w:val="6"/>
                <w:rFonts w:hint="eastAsia"/>
                <w:sz w:val="24"/>
                <w:szCs w:val="24"/>
              </w:rPr>
              <w:t>采茶戏：杜鹃花开</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故事片</w:t>
            </w:r>
          </w:p>
        </w:tc>
        <w:tc>
          <w:tcPr>
            <w:tcW w:w="2517" w:type="dxa"/>
            <w:shd w:val="clear" w:color="auto" w:fill="auto"/>
            <w:vAlign w:val="center"/>
          </w:tcPr>
          <w:p>
            <w:pPr>
              <w:widowControl/>
              <w:textAlignment w:val="bottom"/>
              <w:rPr>
                <w:rStyle w:val="6"/>
                <w:sz w:val="24"/>
                <w:szCs w:val="24"/>
              </w:rPr>
            </w:pPr>
            <w:r>
              <w:rPr>
                <w:rStyle w:val="6"/>
                <w:rFonts w:hint="eastAsia"/>
                <w:sz w:val="24"/>
                <w:szCs w:val="24"/>
              </w:rPr>
              <w:t>江西干部学院教职工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张富清-本色英雄</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专题片</w:t>
            </w:r>
          </w:p>
        </w:tc>
        <w:tc>
          <w:tcPr>
            <w:tcW w:w="2517" w:type="dxa"/>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vAlign w:val="center"/>
          </w:tcPr>
          <w:p>
            <w:pPr>
              <w:jc w:val="center"/>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李连城-吃亏书记</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专题片</w:t>
            </w:r>
          </w:p>
        </w:tc>
        <w:tc>
          <w:tcPr>
            <w:tcW w:w="2517" w:type="dxa"/>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6"/>
                <w:sz w:val="24"/>
                <w:szCs w:val="24"/>
              </w:rPr>
            </w:pPr>
            <w:r>
              <w:rPr>
                <w:rStyle w:val="6"/>
                <w:rFonts w:hint="eastAsia"/>
                <w:sz w:val="24"/>
                <w:szCs w:val="24"/>
              </w:rPr>
              <w:t>守护初心 践行使命 做新时代优秀的共产党员——理论篇</w:t>
            </w:r>
          </w:p>
        </w:tc>
        <w:tc>
          <w:tcPr>
            <w:tcW w:w="941" w:type="dxa"/>
            <w:shd w:val="clear" w:color="auto" w:fill="auto"/>
            <w:vAlign w:val="center"/>
          </w:tcPr>
          <w:p>
            <w:pPr>
              <w:widowControl/>
              <w:jc w:val="center"/>
              <w:textAlignment w:val="bottom"/>
              <w:rPr>
                <w:rStyle w:val="6"/>
                <w:sz w:val="24"/>
                <w:szCs w:val="24"/>
              </w:rPr>
            </w:pPr>
            <w:r>
              <w:rPr>
                <w:rStyle w:val="6"/>
                <w:rFonts w:hint="eastAsia"/>
                <w:sz w:val="24"/>
                <w:szCs w:val="24"/>
              </w:rPr>
              <w:t>微  课</w:t>
            </w:r>
          </w:p>
        </w:tc>
        <w:tc>
          <w:tcPr>
            <w:tcW w:w="2517" w:type="dxa"/>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eastAsia="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守护初心 践行使命 做新时代优秀的共产党员——指引篇</w:t>
            </w:r>
          </w:p>
        </w:tc>
        <w:tc>
          <w:tcPr>
            <w:tcW w:w="941" w:type="dxa"/>
            <w:vAlign w:val="center"/>
          </w:tcPr>
          <w:p>
            <w:pPr>
              <w:widowControl/>
              <w:jc w:val="center"/>
              <w:textAlignment w:val="bottom"/>
              <w:rPr>
                <w:rStyle w:val="6"/>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bl>
    <w:p>
      <w:pPr>
        <w:pStyle w:val="2"/>
        <w:spacing w:before="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党员</w:t>
      </w:r>
    </w:p>
    <w:tbl>
      <w:tblPr>
        <w:tblStyle w:val="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jc w:val="center"/>
              <w:rPr>
                <w:rFonts w:eastAsia="仿宋"/>
                <w:b/>
                <w:bCs/>
                <w:color w:val="000000"/>
                <w:sz w:val="24"/>
                <w:szCs w:val="24"/>
              </w:rPr>
            </w:pPr>
            <w:r>
              <w:rPr>
                <w:rFonts w:eastAsia="仿宋"/>
                <w:b/>
                <w:bCs/>
                <w:color w:val="000000"/>
                <w:sz w:val="24"/>
                <w:szCs w:val="24"/>
              </w:rPr>
              <w:t>课程</w:t>
            </w:r>
          </w:p>
          <w:p>
            <w:pPr>
              <w:jc w:val="center"/>
              <w:rPr>
                <w:rFonts w:eastAsia="仿宋"/>
                <w:sz w:val="24"/>
                <w:szCs w:val="24"/>
              </w:rPr>
            </w:pPr>
            <w:r>
              <w:rPr>
                <w:rFonts w:eastAsia="仿宋"/>
                <w:b/>
                <w:bCs/>
                <w:color w:val="000000"/>
                <w:sz w:val="24"/>
                <w:szCs w:val="24"/>
              </w:rPr>
              <w:t>模块</w:t>
            </w:r>
          </w:p>
        </w:tc>
        <w:tc>
          <w:tcPr>
            <w:tcW w:w="4320" w:type="dxa"/>
            <w:vAlign w:val="center"/>
          </w:tcPr>
          <w:p>
            <w:pPr>
              <w:jc w:val="center"/>
              <w:rPr>
                <w:rFonts w:eastAsia="仿宋"/>
                <w:color w:val="000000"/>
                <w:kern w:val="0"/>
                <w:sz w:val="24"/>
                <w:szCs w:val="24"/>
              </w:rPr>
            </w:pPr>
            <w:r>
              <w:rPr>
                <w:rFonts w:eastAsia="仿宋"/>
                <w:b/>
                <w:bCs/>
                <w:color w:val="000000"/>
                <w:sz w:val="24"/>
                <w:szCs w:val="24"/>
              </w:rPr>
              <w:t>课程名称</w:t>
            </w:r>
          </w:p>
        </w:tc>
        <w:tc>
          <w:tcPr>
            <w:tcW w:w="941" w:type="dxa"/>
            <w:vAlign w:val="center"/>
          </w:tcPr>
          <w:p>
            <w:pPr>
              <w:jc w:val="center"/>
              <w:rPr>
                <w:rFonts w:eastAsia="仿宋"/>
                <w:color w:val="000000"/>
                <w:kern w:val="0"/>
                <w:sz w:val="24"/>
                <w:szCs w:val="24"/>
              </w:rPr>
            </w:pPr>
            <w:r>
              <w:rPr>
                <w:rFonts w:eastAsia="仿宋"/>
                <w:b/>
                <w:bCs/>
                <w:color w:val="000000"/>
                <w:sz w:val="24"/>
                <w:szCs w:val="24"/>
              </w:rPr>
              <w:t>主讲人</w:t>
            </w:r>
          </w:p>
        </w:tc>
        <w:tc>
          <w:tcPr>
            <w:tcW w:w="2517" w:type="dxa"/>
            <w:vAlign w:val="center"/>
          </w:tcPr>
          <w:p>
            <w:pPr>
              <w:jc w:val="center"/>
              <w:rPr>
                <w:rFonts w:eastAsia="仿宋"/>
                <w:color w:val="000000"/>
                <w:kern w:val="0"/>
                <w:sz w:val="24"/>
                <w:szCs w:val="24"/>
              </w:rPr>
            </w:pPr>
            <w:r>
              <w:rPr>
                <w:rFonts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政治</w:t>
            </w:r>
          </w:p>
          <w:p>
            <w:pPr>
              <w:jc w:val="center"/>
              <w:rPr>
                <w:rFonts w:ascii="仿宋" w:hAnsi="仿宋" w:eastAsia="仿宋" w:cs="仿宋"/>
                <w:sz w:val="24"/>
                <w:szCs w:val="24"/>
              </w:rPr>
            </w:pPr>
            <w:r>
              <w:rPr>
                <w:rFonts w:hint="eastAsia" w:ascii="仿宋" w:hAnsi="仿宋" w:eastAsia="仿宋" w:cs="仿宋"/>
                <w:sz w:val="24"/>
                <w:szCs w:val="24"/>
              </w:rPr>
              <w:t>理论</w:t>
            </w:r>
          </w:p>
          <w:p>
            <w:pPr>
              <w:jc w:val="center"/>
              <w:rPr>
                <w:rFonts w:ascii="仿宋" w:hAnsi="仿宋" w:eastAsia="仿宋" w:cs="仿宋"/>
                <w:sz w:val="24"/>
                <w:szCs w:val="24"/>
              </w:rPr>
            </w:pPr>
            <w:r>
              <w:rPr>
                <w:rFonts w:hint="eastAsia" w:ascii="仿宋" w:hAnsi="仿宋" w:eastAsia="仿宋" w:cs="仿宋"/>
                <w:sz w:val="24"/>
                <w:szCs w:val="24"/>
              </w:rPr>
              <w:t>教育</w:t>
            </w:r>
          </w:p>
        </w:tc>
        <w:tc>
          <w:tcPr>
            <w:tcW w:w="4320" w:type="dxa"/>
            <w:vAlign w:val="center"/>
          </w:tcPr>
          <w:p>
            <w:pPr>
              <w:textAlignment w:val="center"/>
              <w:rPr>
                <w:rFonts w:eastAsia="仿宋"/>
                <w:color w:val="000000"/>
                <w:kern w:val="0"/>
                <w:sz w:val="24"/>
                <w:szCs w:val="24"/>
              </w:rPr>
            </w:pPr>
            <w:r>
              <w:rPr>
                <w:rFonts w:hint="eastAsia" w:eastAsia="仿宋"/>
                <w:color w:val="000000"/>
                <w:kern w:val="0"/>
                <w:sz w:val="24"/>
                <w:szCs w:val="24"/>
              </w:rPr>
              <w:t>开辟“中国之治”新境界——十九届四中全会总体精神解读</w:t>
            </w:r>
          </w:p>
        </w:tc>
        <w:tc>
          <w:tcPr>
            <w:tcW w:w="941" w:type="dxa"/>
            <w:vAlign w:val="center"/>
          </w:tcPr>
          <w:p>
            <w:pPr>
              <w:textAlignment w:val="center"/>
              <w:rPr>
                <w:rFonts w:eastAsia="仿宋"/>
                <w:color w:val="000000"/>
                <w:kern w:val="0"/>
                <w:sz w:val="24"/>
                <w:szCs w:val="24"/>
              </w:rPr>
            </w:pPr>
            <w:r>
              <w:rPr>
                <w:rFonts w:hint="eastAsia" w:eastAsia="仿宋"/>
                <w:color w:val="000000"/>
                <w:kern w:val="0"/>
                <w:sz w:val="24"/>
                <w:szCs w:val="24"/>
              </w:rPr>
              <w:t>许耀桐</w:t>
            </w:r>
          </w:p>
        </w:tc>
        <w:tc>
          <w:tcPr>
            <w:tcW w:w="2517" w:type="dxa"/>
            <w:vAlign w:val="center"/>
          </w:tcPr>
          <w:p>
            <w:pPr>
              <w:textAlignment w:val="center"/>
              <w:rPr>
                <w:rFonts w:eastAsia="仿宋"/>
                <w:color w:val="000000"/>
                <w:kern w:val="0"/>
                <w:sz w:val="24"/>
                <w:szCs w:val="24"/>
              </w:rPr>
            </w:pPr>
            <w:r>
              <w:rPr>
                <w:rFonts w:hint="eastAsia"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eastAsia="仿宋"/>
                <w:color w:val="000000"/>
                <w:sz w:val="24"/>
                <w:szCs w:val="24"/>
              </w:rPr>
            </w:pPr>
            <w:r>
              <w:rPr>
                <w:rStyle w:val="6"/>
                <w:rFonts w:hint="eastAsia"/>
                <w:sz w:val="24"/>
                <w:szCs w:val="24"/>
              </w:rPr>
              <w:t>深刻把握习近平新时代中国特色社会主义思想的科学体系及其重大意义</w:t>
            </w:r>
          </w:p>
        </w:tc>
        <w:tc>
          <w:tcPr>
            <w:tcW w:w="941" w:type="dxa"/>
            <w:vAlign w:val="center"/>
          </w:tcPr>
          <w:p>
            <w:pPr>
              <w:widowControl/>
              <w:textAlignment w:val="bottom"/>
              <w:rPr>
                <w:rFonts w:eastAsia="仿宋"/>
                <w:color w:val="000000"/>
                <w:sz w:val="24"/>
                <w:szCs w:val="24"/>
              </w:rPr>
            </w:pPr>
            <w:r>
              <w:rPr>
                <w:rStyle w:val="6"/>
                <w:rFonts w:hint="eastAsia"/>
                <w:sz w:val="24"/>
                <w:szCs w:val="24"/>
              </w:rPr>
              <w:t>颜晓峰</w:t>
            </w:r>
          </w:p>
        </w:tc>
        <w:tc>
          <w:tcPr>
            <w:tcW w:w="2517" w:type="dxa"/>
            <w:vAlign w:val="center"/>
          </w:tcPr>
          <w:p>
            <w:pPr>
              <w:widowControl/>
              <w:textAlignment w:val="bottom"/>
              <w:rPr>
                <w:rFonts w:eastAsia="仿宋"/>
                <w:color w:val="000000"/>
                <w:sz w:val="24"/>
                <w:szCs w:val="24"/>
              </w:rPr>
            </w:pPr>
            <w:r>
              <w:rPr>
                <w:rStyle w:val="6"/>
                <w:rFonts w:hint="eastAsia"/>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国际关系：中国与世界如何管理“修昔底德陷阱”之风险</w:t>
            </w:r>
          </w:p>
        </w:tc>
        <w:tc>
          <w:tcPr>
            <w:tcW w:w="941" w:type="dxa"/>
            <w:vAlign w:val="center"/>
          </w:tcPr>
          <w:p>
            <w:pPr>
              <w:widowControl/>
              <w:textAlignment w:val="bottom"/>
              <w:rPr>
                <w:rStyle w:val="6"/>
                <w:sz w:val="24"/>
                <w:szCs w:val="24"/>
              </w:rPr>
            </w:pPr>
            <w:r>
              <w:rPr>
                <w:rStyle w:val="6"/>
                <w:rFonts w:hint="eastAsia"/>
                <w:sz w:val="24"/>
                <w:szCs w:val="24"/>
              </w:rPr>
              <w:t>郭惠民</w:t>
            </w:r>
          </w:p>
        </w:tc>
        <w:tc>
          <w:tcPr>
            <w:tcW w:w="2517" w:type="dxa"/>
            <w:vAlign w:val="center"/>
          </w:tcPr>
          <w:p>
            <w:pPr>
              <w:widowControl/>
              <w:textAlignment w:val="bottom"/>
              <w:rPr>
                <w:rStyle w:val="6"/>
                <w:sz w:val="24"/>
                <w:szCs w:val="24"/>
              </w:rPr>
            </w:pPr>
            <w:r>
              <w:rPr>
                <w:rStyle w:val="6"/>
                <w:rFonts w:hint="eastAsia"/>
                <w:sz w:val="24"/>
                <w:szCs w:val="24"/>
              </w:rPr>
              <w:t>国际关系学院副校长、教授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全球传播时代的网络文化与意识形态</w:t>
            </w:r>
          </w:p>
        </w:tc>
        <w:tc>
          <w:tcPr>
            <w:tcW w:w="941" w:type="dxa"/>
            <w:vAlign w:val="center"/>
          </w:tcPr>
          <w:p>
            <w:pPr>
              <w:widowControl/>
              <w:textAlignment w:val="bottom"/>
              <w:rPr>
                <w:rStyle w:val="6"/>
                <w:sz w:val="24"/>
                <w:szCs w:val="24"/>
              </w:rPr>
            </w:pPr>
            <w:r>
              <w:rPr>
                <w:rStyle w:val="6"/>
                <w:rFonts w:hint="eastAsia"/>
                <w:sz w:val="24"/>
                <w:szCs w:val="24"/>
              </w:rPr>
              <w:t>史安斌</w:t>
            </w:r>
          </w:p>
        </w:tc>
        <w:tc>
          <w:tcPr>
            <w:tcW w:w="2517" w:type="dxa"/>
            <w:vAlign w:val="center"/>
          </w:tcPr>
          <w:p>
            <w:pPr>
              <w:widowControl/>
              <w:textAlignment w:val="bottom"/>
              <w:rPr>
                <w:rStyle w:val="6"/>
                <w:sz w:val="24"/>
                <w:szCs w:val="24"/>
              </w:rPr>
            </w:pPr>
            <w:r>
              <w:rPr>
                <w:rStyle w:val="6"/>
                <w:rFonts w:hint="eastAsia"/>
                <w:sz w:val="24"/>
                <w:szCs w:val="24"/>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“两弹一星”的辉煌成就与伟大精神</w:t>
            </w:r>
          </w:p>
        </w:tc>
        <w:tc>
          <w:tcPr>
            <w:tcW w:w="941" w:type="dxa"/>
            <w:vAlign w:val="center"/>
          </w:tcPr>
          <w:p>
            <w:pPr>
              <w:widowControl/>
              <w:textAlignment w:val="bottom"/>
              <w:rPr>
                <w:rStyle w:val="6"/>
                <w:sz w:val="24"/>
                <w:szCs w:val="24"/>
              </w:rPr>
            </w:pPr>
            <w:r>
              <w:rPr>
                <w:rStyle w:val="6"/>
                <w:rFonts w:hint="eastAsia"/>
                <w:sz w:val="24"/>
                <w:szCs w:val="24"/>
              </w:rPr>
              <w:t>王兆宇</w:t>
            </w:r>
          </w:p>
        </w:tc>
        <w:tc>
          <w:tcPr>
            <w:tcW w:w="2517" w:type="dxa"/>
            <w:vAlign w:val="center"/>
          </w:tcPr>
          <w:p>
            <w:pPr>
              <w:widowControl/>
              <w:textAlignment w:val="bottom"/>
              <w:rPr>
                <w:rStyle w:val="6"/>
                <w:sz w:val="24"/>
                <w:szCs w:val="24"/>
              </w:rPr>
            </w:pPr>
            <w:r>
              <w:rPr>
                <w:rStyle w:val="6"/>
                <w:rFonts w:hint="eastAsia"/>
                <w:sz w:val="24"/>
                <w:szCs w:val="24"/>
              </w:rPr>
              <w:t>中国酒泉卫星发射中心原党委书记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如何实现中华优秀传统文化创造性转化、创新性发展</w:t>
            </w:r>
          </w:p>
        </w:tc>
        <w:tc>
          <w:tcPr>
            <w:tcW w:w="941" w:type="dxa"/>
            <w:vAlign w:val="center"/>
          </w:tcPr>
          <w:p>
            <w:pPr>
              <w:widowControl/>
              <w:textAlignment w:val="bottom"/>
              <w:rPr>
                <w:rStyle w:val="6"/>
                <w:sz w:val="24"/>
                <w:szCs w:val="24"/>
              </w:rPr>
            </w:pPr>
            <w:r>
              <w:rPr>
                <w:rStyle w:val="6"/>
                <w:rFonts w:hint="eastAsia"/>
                <w:sz w:val="24"/>
                <w:szCs w:val="24"/>
              </w:rPr>
              <w:t>齐勇锋</w:t>
            </w:r>
          </w:p>
        </w:tc>
        <w:tc>
          <w:tcPr>
            <w:tcW w:w="2517" w:type="dxa"/>
            <w:vAlign w:val="center"/>
          </w:tcPr>
          <w:p>
            <w:pPr>
              <w:widowControl/>
              <w:textAlignment w:val="bottom"/>
              <w:rPr>
                <w:rStyle w:val="6"/>
                <w:sz w:val="24"/>
                <w:szCs w:val="24"/>
              </w:rPr>
            </w:pPr>
            <w:r>
              <w:rPr>
                <w:rStyle w:val="6"/>
                <w:rFonts w:hint="eastAsia"/>
                <w:sz w:val="24"/>
                <w:szCs w:val="24"/>
              </w:rPr>
              <w:t>中国传媒大学协同创新中心二级教授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党史</w:t>
            </w:r>
          </w:p>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国史</w:t>
            </w:r>
          </w:p>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教育</w:t>
            </w:r>
          </w:p>
        </w:tc>
        <w:tc>
          <w:tcPr>
            <w:tcW w:w="4320" w:type="dxa"/>
            <w:vAlign w:val="center"/>
          </w:tcPr>
          <w:p>
            <w:pPr>
              <w:widowControl/>
              <w:textAlignment w:val="bottom"/>
              <w:rPr>
                <w:rStyle w:val="6"/>
                <w:sz w:val="24"/>
                <w:szCs w:val="24"/>
              </w:rPr>
            </w:pPr>
            <w:r>
              <w:rPr>
                <w:rStyle w:val="6"/>
                <w:rFonts w:hint="eastAsia"/>
                <w:sz w:val="24"/>
                <w:szCs w:val="24"/>
              </w:rPr>
              <w:t>中国共产党与新中国70年</w:t>
            </w:r>
          </w:p>
        </w:tc>
        <w:tc>
          <w:tcPr>
            <w:tcW w:w="941" w:type="dxa"/>
            <w:vAlign w:val="center"/>
          </w:tcPr>
          <w:p>
            <w:pPr>
              <w:widowControl/>
              <w:textAlignment w:val="bottom"/>
              <w:rPr>
                <w:rStyle w:val="6"/>
                <w:sz w:val="24"/>
                <w:szCs w:val="24"/>
              </w:rPr>
            </w:pPr>
            <w:r>
              <w:rPr>
                <w:rStyle w:val="6"/>
                <w:rFonts w:hint="eastAsia"/>
                <w:sz w:val="24"/>
                <w:szCs w:val="24"/>
              </w:rPr>
              <w:t>肖贵清</w:t>
            </w:r>
          </w:p>
        </w:tc>
        <w:tc>
          <w:tcPr>
            <w:tcW w:w="2517" w:type="dxa"/>
            <w:vAlign w:val="center"/>
          </w:tcPr>
          <w:p>
            <w:pPr>
              <w:widowControl/>
              <w:textAlignment w:val="bottom"/>
              <w:rPr>
                <w:rStyle w:val="6"/>
                <w:sz w:val="24"/>
                <w:szCs w:val="24"/>
              </w:rPr>
            </w:pPr>
            <w:r>
              <w:rPr>
                <w:rStyle w:val="6"/>
                <w:rFonts w:hint="eastAsia"/>
                <w:sz w:val="24"/>
                <w:szCs w:val="24"/>
              </w:rPr>
              <w:t>清华大学马克思主义学院副院长、教授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中国共产党与当代中国治理之道</w:t>
            </w:r>
          </w:p>
        </w:tc>
        <w:tc>
          <w:tcPr>
            <w:tcW w:w="941" w:type="dxa"/>
            <w:vAlign w:val="center"/>
          </w:tcPr>
          <w:p>
            <w:pPr>
              <w:widowControl/>
              <w:textAlignment w:val="bottom"/>
              <w:rPr>
                <w:rStyle w:val="6"/>
                <w:sz w:val="24"/>
                <w:szCs w:val="24"/>
              </w:rPr>
            </w:pPr>
            <w:r>
              <w:rPr>
                <w:rStyle w:val="6"/>
                <w:rFonts w:hint="eastAsia"/>
                <w:sz w:val="24"/>
                <w:szCs w:val="24"/>
              </w:rPr>
              <w:t>丁元竹</w:t>
            </w:r>
          </w:p>
        </w:tc>
        <w:tc>
          <w:tcPr>
            <w:tcW w:w="2517" w:type="dxa"/>
            <w:vAlign w:val="center"/>
          </w:tcPr>
          <w:p>
            <w:pPr>
              <w:widowControl/>
              <w:textAlignment w:val="bottom"/>
              <w:rPr>
                <w:rStyle w:val="6"/>
                <w:sz w:val="24"/>
                <w:szCs w:val="24"/>
              </w:rPr>
            </w:pPr>
            <w:r>
              <w:rPr>
                <w:rStyle w:val="6"/>
                <w:rFonts w:hint="eastAsia"/>
                <w:sz w:val="24"/>
                <w:szCs w:val="24"/>
              </w:rPr>
              <w:t>中共中央党校（国家行政学院）社会和文化教研部副主任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学习党史 坚定信仰</w:t>
            </w:r>
          </w:p>
        </w:tc>
        <w:tc>
          <w:tcPr>
            <w:tcW w:w="941" w:type="dxa"/>
            <w:vAlign w:val="center"/>
          </w:tcPr>
          <w:p>
            <w:pPr>
              <w:widowControl/>
              <w:textAlignment w:val="bottom"/>
              <w:rPr>
                <w:rStyle w:val="6"/>
                <w:sz w:val="24"/>
                <w:szCs w:val="24"/>
              </w:rPr>
            </w:pPr>
            <w:r>
              <w:rPr>
                <w:rStyle w:val="6"/>
                <w:rFonts w:hint="eastAsia"/>
                <w:sz w:val="24"/>
                <w:szCs w:val="24"/>
              </w:rPr>
              <w:t>蔡文成</w:t>
            </w:r>
          </w:p>
        </w:tc>
        <w:tc>
          <w:tcPr>
            <w:tcW w:w="2517" w:type="dxa"/>
            <w:vAlign w:val="center"/>
          </w:tcPr>
          <w:p>
            <w:pPr>
              <w:widowControl/>
              <w:textAlignment w:val="bottom"/>
              <w:rPr>
                <w:rStyle w:val="6"/>
                <w:sz w:val="24"/>
                <w:szCs w:val="24"/>
              </w:rPr>
            </w:pPr>
            <w:r>
              <w:rPr>
                <w:rStyle w:val="6"/>
                <w:rFonts w:hint="eastAsia"/>
                <w:sz w:val="24"/>
                <w:szCs w:val="24"/>
              </w:rPr>
              <w:t>兰州大学马克思主义学院党委书记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红色传奇II</w:t>
            </w:r>
          </w:p>
        </w:tc>
        <w:tc>
          <w:tcPr>
            <w:tcW w:w="941" w:type="dxa"/>
            <w:vAlign w:val="center"/>
          </w:tcPr>
          <w:p>
            <w:pPr>
              <w:widowControl/>
              <w:textAlignment w:val="bottom"/>
              <w:rPr>
                <w:rStyle w:val="6"/>
                <w:sz w:val="24"/>
                <w:szCs w:val="24"/>
              </w:rPr>
            </w:pPr>
            <w:r>
              <w:rPr>
                <w:rStyle w:val="6"/>
                <w:rFonts w:hint="eastAsia"/>
                <w:sz w:val="24"/>
                <w:szCs w:val="24"/>
              </w:rPr>
              <w:t xml:space="preserve">微  课 </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p>
            <w:pPr>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深入学习十九大党章修正案，坚持制度治党</w:t>
            </w:r>
          </w:p>
        </w:tc>
        <w:tc>
          <w:tcPr>
            <w:tcW w:w="941" w:type="dxa"/>
            <w:vAlign w:val="center"/>
          </w:tcPr>
          <w:p>
            <w:pPr>
              <w:widowControl/>
              <w:textAlignment w:val="bottom"/>
              <w:rPr>
                <w:rStyle w:val="6"/>
                <w:sz w:val="24"/>
                <w:szCs w:val="24"/>
              </w:rPr>
            </w:pPr>
            <w:r>
              <w:rPr>
                <w:rStyle w:val="6"/>
                <w:rFonts w:hint="eastAsia"/>
                <w:sz w:val="24"/>
                <w:szCs w:val="24"/>
              </w:rPr>
              <w:t>孙熙国</w:t>
            </w:r>
          </w:p>
        </w:tc>
        <w:tc>
          <w:tcPr>
            <w:tcW w:w="2517" w:type="dxa"/>
            <w:vAlign w:val="center"/>
          </w:tcPr>
          <w:p>
            <w:pPr>
              <w:widowControl/>
              <w:textAlignment w:val="bottom"/>
              <w:rPr>
                <w:rStyle w:val="6"/>
                <w:sz w:val="24"/>
                <w:szCs w:val="24"/>
              </w:rPr>
            </w:pPr>
            <w:r>
              <w:rPr>
                <w:rStyle w:val="6"/>
                <w:rFonts w:hint="eastAsia"/>
                <w:sz w:val="24"/>
                <w:szCs w:val="24"/>
              </w:rPr>
              <w:t>北京大学马克思主义学院执行院长、教授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eastAsia="仿宋"/>
                <w:color w:val="000000"/>
                <w:sz w:val="24"/>
                <w:szCs w:val="24"/>
              </w:rPr>
            </w:pPr>
            <w:r>
              <w:rPr>
                <w:rStyle w:val="6"/>
                <w:rFonts w:hint="eastAsia"/>
                <w:sz w:val="24"/>
                <w:szCs w:val="24"/>
              </w:rPr>
              <w:t>《中国共产党纪律处分条例》解读</w:t>
            </w:r>
          </w:p>
        </w:tc>
        <w:tc>
          <w:tcPr>
            <w:tcW w:w="941" w:type="dxa"/>
            <w:vAlign w:val="center"/>
          </w:tcPr>
          <w:p>
            <w:pPr>
              <w:widowControl/>
              <w:textAlignment w:val="bottom"/>
              <w:rPr>
                <w:rFonts w:eastAsia="仿宋"/>
                <w:color w:val="000000"/>
                <w:sz w:val="24"/>
                <w:szCs w:val="24"/>
              </w:rPr>
            </w:pPr>
            <w:r>
              <w:rPr>
                <w:rStyle w:val="6"/>
                <w:rFonts w:hint="eastAsia"/>
                <w:sz w:val="24"/>
                <w:szCs w:val="24"/>
              </w:rPr>
              <w:t>任  进</w:t>
            </w:r>
          </w:p>
        </w:tc>
        <w:tc>
          <w:tcPr>
            <w:tcW w:w="2517" w:type="dxa"/>
            <w:vAlign w:val="center"/>
          </w:tcPr>
          <w:p>
            <w:pPr>
              <w:widowControl/>
              <w:textAlignment w:val="bottom"/>
              <w:rPr>
                <w:rFonts w:eastAsia="仿宋"/>
                <w:color w:val="000000"/>
                <w:sz w:val="24"/>
                <w:szCs w:val="24"/>
              </w:rPr>
            </w:pPr>
            <w:r>
              <w:rPr>
                <w:rStyle w:val="6"/>
                <w:rFonts w:hint="eastAsia"/>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新时代全面加强党的政治建设——《中共中央关于加强党的政治建设的意见》解读</w:t>
            </w:r>
          </w:p>
        </w:tc>
        <w:tc>
          <w:tcPr>
            <w:tcW w:w="941" w:type="dxa"/>
            <w:vAlign w:val="center"/>
          </w:tcPr>
          <w:p>
            <w:pPr>
              <w:widowControl/>
              <w:textAlignment w:val="bottom"/>
              <w:rPr>
                <w:rStyle w:val="6"/>
                <w:sz w:val="24"/>
                <w:szCs w:val="24"/>
              </w:rPr>
            </w:pPr>
            <w:r>
              <w:rPr>
                <w:rStyle w:val="6"/>
                <w:rFonts w:hint="eastAsia"/>
                <w:sz w:val="24"/>
                <w:szCs w:val="24"/>
              </w:rPr>
              <w:t>陈冬生</w:t>
            </w:r>
          </w:p>
        </w:tc>
        <w:tc>
          <w:tcPr>
            <w:tcW w:w="2517" w:type="dxa"/>
            <w:vAlign w:val="center"/>
          </w:tcPr>
          <w:p>
            <w:pPr>
              <w:widowControl/>
              <w:textAlignment w:val="bottom"/>
              <w:rPr>
                <w:rStyle w:val="6"/>
                <w:sz w:val="24"/>
                <w:szCs w:val="24"/>
              </w:rPr>
            </w:pPr>
            <w:r>
              <w:rPr>
                <w:rStyle w:val="6"/>
                <w:rFonts w:hint="eastAsia"/>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tcPr>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vAlign w:val="center"/>
          </w:tcPr>
          <w:p>
            <w:pPr>
              <w:widowControl/>
              <w:jc w:val="center"/>
              <w:textAlignment w:val="bottom"/>
              <w:rPr>
                <w:rStyle w:val="6"/>
                <w:b/>
                <w:bCs/>
                <w:sz w:val="24"/>
                <w:szCs w:val="24"/>
              </w:rPr>
            </w:pPr>
            <w:r>
              <w:rPr>
                <w:rStyle w:val="6"/>
                <w:rFonts w:hint="eastAsia"/>
                <w:b/>
                <w:bCs/>
                <w:sz w:val="24"/>
                <w:szCs w:val="24"/>
              </w:rPr>
              <w:t>课程名称</w:t>
            </w:r>
          </w:p>
        </w:tc>
        <w:tc>
          <w:tcPr>
            <w:tcW w:w="941" w:type="dxa"/>
            <w:vAlign w:val="center"/>
          </w:tcPr>
          <w:p>
            <w:pPr>
              <w:widowControl/>
              <w:jc w:val="center"/>
              <w:textAlignment w:val="bottom"/>
              <w:rPr>
                <w:rStyle w:val="6"/>
                <w:b/>
                <w:bCs/>
                <w:sz w:val="24"/>
                <w:szCs w:val="24"/>
              </w:rPr>
            </w:pPr>
            <w:r>
              <w:rPr>
                <w:rStyle w:val="6"/>
                <w:rFonts w:hint="eastAsia"/>
                <w:b/>
                <w:bCs/>
                <w:sz w:val="24"/>
                <w:szCs w:val="24"/>
              </w:rPr>
              <w:t>主讲人</w:t>
            </w:r>
          </w:p>
        </w:tc>
        <w:tc>
          <w:tcPr>
            <w:tcW w:w="2517" w:type="dxa"/>
            <w:vAlign w:val="center"/>
          </w:tcPr>
          <w:p>
            <w:pPr>
              <w:widowControl/>
              <w:jc w:val="center"/>
              <w:textAlignment w:val="bottom"/>
              <w:rPr>
                <w:rStyle w:val="6"/>
                <w:b/>
                <w:bCs/>
                <w:sz w:val="24"/>
                <w:szCs w:val="24"/>
              </w:rPr>
            </w:pPr>
            <w:r>
              <w:rPr>
                <w:rStyle w:val="6"/>
                <w:rFonts w:hint="eastAsia"/>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tc>
        <w:tc>
          <w:tcPr>
            <w:tcW w:w="4320" w:type="dxa"/>
            <w:vAlign w:val="center"/>
          </w:tcPr>
          <w:p>
            <w:pPr>
              <w:widowControl/>
              <w:textAlignment w:val="bottom"/>
              <w:rPr>
                <w:rStyle w:val="6"/>
                <w:sz w:val="24"/>
                <w:szCs w:val="24"/>
              </w:rPr>
            </w:pPr>
            <w:r>
              <w:rPr>
                <w:rStyle w:val="6"/>
                <w:rFonts w:hint="eastAsia"/>
                <w:sz w:val="24"/>
                <w:szCs w:val="24"/>
              </w:rPr>
              <w:t>“三会一课”教学片</w:t>
            </w:r>
          </w:p>
        </w:tc>
        <w:tc>
          <w:tcPr>
            <w:tcW w:w="941" w:type="dxa"/>
            <w:vAlign w:val="center"/>
          </w:tcPr>
          <w:p>
            <w:pPr>
              <w:widowControl/>
              <w:textAlignment w:val="bottom"/>
              <w:rPr>
                <w:rStyle w:val="6"/>
                <w:sz w:val="24"/>
                <w:szCs w:val="24"/>
              </w:rPr>
            </w:pPr>
            <w:r>
              <w:rPr>
                <w:rStyle w:val="6"/>
                <w:rFonts w:hint="eastAsia"/>
                <w:sz w:val="24"/>
                <w:szCs w:val="24"/>
              </w:rPr>
              <w:t>专题片</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新时代稳妥有序开展不合格党员组织处置</w:t>
            </w:r>
          </w:p>
        </w:tc>
        <w:tc>
          <w:tcPr>
            <w:tcW w:w="941" w:type="dxa"/>
            <w:vAlign w:val="center"/>
          </w:tcPr>
          <w:p>
            <w:pPr>
              <w:widowControl/>
              <w:textAlignment w:val="bottom"/>
              <w:rPr>
                <w:rStyle w:val="6"/>
                <w:sz w:val="24"/>
                <w:szCs w:val="24"/>
              </w:rPr>
            </w:pPr>
            <w:r>
              <w:rPr>
                <w:rStyle w:val="6"/>
                <w:rFonts w:hint="eastAsia"/>
                <w:sz w:val="24"/>
                <w:szCs w:val="24"/>
              </w:rPr>
              <w:t>孙  林</w:t>
            </w:r>
          </w:p>
        </w:tc>
        <w:tc>
          <w:tcPr>
            <w:tcW w:w="2517" w:type="dxa"/>
            <w:vAlign w:val="center"/>
          </w:tcPr>
          <w:p>
            <w:pPr>
              <w:widowControl/>
              <w:textAlignment w:val="bottom"/>
              <w:rPr>
                <w:rStyle w:val="6"/>
                <w:sz w:val="24"/>
                <w:szCs w:val="24"/>
              </w:rPr>
            </w:pPr>
            <w:r>
              <w:rPr>
                <w:rStyle w:val="6"/>
                <w:rFonts w:hint="eastAsia"/>
                <w:sz w:val="24"/>
                <w:szCs w:val="24"/>
              </w:rPr>
              <w:t>中共中央党校（国家行政学院）教师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党性</w:t>
            </w:r>
          </w:p>
          <w:p>
            <w:pPr>
              <w:jc w:val="center"/>
              <w:rPr>
                <w:rFonts w:ascii="仿宋" w:hAnsi="仿宋" w:eastAsia="仿宋" w:cs="仿宋"/>
                <w:sz w:val="24"/>
                <w:szCs w:val="24"/>
              </w:rPr>
            </w:pPr>
            <w:r>
              <w:rPr>
                <w:rFonts w:hint="eastAsia" w:ascii="仿宋" w:hAnsi="仿宋" w:eastAsia="仿宋" w:cs="仿宋"/>
                <w:sz w:val="24"/>
                <w:szCs w:val="24"/>
              </w:rPr>
              <w:t>修养</w:t>
            </w:r>
          </w:p>
          <w:p>
            <w:pPr>
              <w:jc w:val="center"/>
              <w:rPr>
                <w:rFonts w:ascii="仿宋" w:hAnsi="仿宋" w:eastAsia="仿宋" w:cs="仿宋"/>
                <w:sz w:val="24"/>
                <w:szCs w:val="24"/>
              </w:rPr>
            </w:pPr>
            <w:r>
              <w:rPr>
                <w:rFonts w:hint="eastAsia" w:ascii="仿宋" w:hAnsi="仿宋" w:eastAsia="仿宋" w:cs="仿宋"/>
                <w:bCs/>
                <w:sz w:val="24"/>
                <w:szCs w:val="24"/>
              </w:rPr>
              <w:t>提升</w:t>
            </w:r>
          </w:p>
        </w:tc>
        <w:tc>
          <w:tcPr>
            <w:tcW w:w="4320" w:type="dxa"/>
            <w:vAlign w:val="center"/>
          </w:tcPr>
          <w:p>
            <w:pPr>
              <w:widowControl/>
              <w:textAlignment w:val="bottom"/>
              <w:rPr>
                <w:rFonts w:eastAsia="仿宋"/>
                <w:color w:val="000000"/>
                <w:sz w:val="24"/>
                <w:szCs w:val="24"/>
              </w:rPr>
            </w:pPr>
            <w:r>
              <w:rPr>
                <w:rStyle w:val="6"/>
                <w:rFonts w:hint="eastAsia"/>
                <w:sz w:val="24"/>
                <w:szCs w:val="24"/>
              </w:rPr>
              <w:t>党性是什么</w:t>
            </w:r>
          </w:p>
        </w:tc>
        <w:tc>
          <w:tcPr>
            <w:tcW w:w="941" w:type="dxa"/>
            <w:vAlign w:val="center"/>
          </w:tcPr>
          <w:p>
            <w:pPr>
              <w:widowControl/>
              <w:textAlignment w:val="bottom"/>
              <w:rPr>
                <w:rFonts w:eastAsia="仿宋"/>
                <w:color w:val="000000"/>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eastAsia="仿宋"/>
                <w:color w:val="000000"/>
                <w:sz w:val="24"/>
                <w:szCs w:val="24"/>
              </w:rPr>
            </w:pPr>
            <w:r>
              <w:rPr>
                <w:rStyle w:val="6"/>
                <w:rFonts w:hint="eastAsia"/>
                <w:sz w:val="24"/>
                <w:szCs w:val="24"/>
              </w:rPr>
              <w:t>什么是党性缺失</w:t>
            </w:r>
          </w:p>
        </w:tc>
        <w:tc>
          <w:tcPr>
            <w:tcW w:w="941" w:type="dxa"/>
            <w:vAlign w:val="center"/>
          </w:tcPr>
          <w:p>
            <w:pPr>
              <w:widowControl/>
              <w:textAlignment w:val="bottom"/>
              <w:rPr>
                <w:rFonts w:eastAsia="仿宋"/>
                <w:color w:val="000000"/>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eastAsia="仿宋"/>
                <w:color w:val="000000"/>
                <w:sz w:val="24"/>
                <w:szCs w:val="24"/>
              </w:rPr>
            </w:pPr>
            <w:r>
              <w:rPr>
                <w:rStyle w:val="6"/>
                <w:rFonts w:hint="eastAsia"/>
                <w:sz w:val="24"/>
                <w:szCs w:val="24"/>
              </w:rPr>
              <w:t>党员为什么要加强党性修养</w:t>
            </w:r>
          </w:p>
        </w:tc>
        <w:tc>
          <w:tcPr>
            <w:tcW w:w="941" w:type="dxa"/>
            <w:vAlign w:val="center"/>
          </w:tcPr>
          <w:p>
            <w:pPr>
              <w:widowControl/>
              <w:textAlignment w:val="bottom"/>
              <w:rPr>
                <w:rFonts w:eastAsia="仿宋"/>
                <w:color w:val="000000"/>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习近平七年知青岁月与梁家河“大学问”——从《习近平的七年知青岁月》和《梁家河》看青年习近平人生磨练</w:t>
            </w:r>
          </w:p>
        </w:tc>
        <w:tc>
          <w:tcPr>
            <w:tcW w:w="941" w:type="dxa"/>
            <w:vAlign w:val="center"/>
          </w:tcPr>
          <w:p>
            <w:pPr>
              <w:widowControl/>
              <w:textAlignment w:val="bottom"/>
              <w:rPr>
                <w:rStyle w:val="6"/>
                <w:sz w:val="24"/>
                <w:szCs w:val="24"/>
              </w:rPr>
            </w:pPr>
            <w:r>
              <w:rPr>
                <w:rStyle w:val="6"/>
                <w:rFonts w:hint="eastAsia"/>
                <w:sz w:val="24"/>
                <w:szCs w:val="24"/>
              </w:rPr>
              <w:t>任晓伟</w:t>
            </w:r>
          </w:p>
        </w:tc>
        <w:tc>
          <w:tcPr>
            <w:tcW w:w="2517" w:type="dxa"/>
            <w:vAlign w:val="center"/>
          </w:tcPr>
          <w:p>
            <w:pPr>
              <w:widowControl/>
              <w:textAlignment w:val="bottom"/>
              <w:rPr>
                <w:rStyle w:val="6"/>
                <w:sz w:val="24"/>
                <w:szCs w:val="24"/>
              </w:rPr>
            </w:pPr>
            <w:r>
              <w:rPr>
                <w:rStyle w:val="6"/>
                <w:rFonts w:hint="eastAsia"/>
                <w:sz w:val="24"/>
                <w:szCs w:val="24"/>
              </w:rPr>
              <w:t>陕西师范大学党委常委、副校长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eastAsia="仿宋"/>
                <w:color w:val="000000"/>
                <w:sz w:val="24"/>
                <w:szCs w:val="24"/>
              </w:rPr>
            </w:pPr>
            <w:r>
              <w:rPr>
                <w:rStyle w:val="6"/>
                <w:rFonts w:hint="eastAsia"/>
                <w:sz w:val="24"/>
                <w:szCs w:val="24"/>
              </w:rPr>
              <w:t>牢记共产党人的初心使命 践行共产党人的责任担当</w:t>
            </w:r>
          </w:p>
        </w:tc>
        <w:tc>
          <w:tcPr>
            <w:tcW w:w="941" w:type="dxa"/>
            <w:vAlign w:val="center"/>
          </w:tcPr>
          <w:p>
            <w:pPr>
              <w:widowControl/>
              <w:textAlignment w:val="bottom"/>
              <w:rPr>
                <w:rFonts w:eastAsia="仿宋"/>
                <w:color w:val="000000"/>
                <w:sz w:val="24"/>
                <w:szCs w:val="24"/>
              </w:rPr>
            </w:pPr>
            <w:r>
              <w:rPr>
                <w:rStyle w:val="6"/>
                <w:rFonts w:hint="eastAsia"/>
                <w:sz w:val="24"/>
                <w:szCs w:val="24"/>
              </w:rPr>
              <w:t>秦  强</w:t>
            </w:r>
          </w:p>
        </w:tc>
        <w:tc>
          <w:tcPr>
            <w:tcW w:w="2517" w:type="dxa"/>
            <w:vAlign w:val="center"/>
          </w:tcPr>
          <w:p>
            <w:pPr>
              <w:widowControl/>
              <w:textAlignment w:val="bottom"/>
              <w:rPr>
                <w:rFonts w:eastAsia="仿宋"/>
                <w:color w:val="000000"/>
                <w:sz w:val="24"/>
                <w:szCs w:val="24"/>
              </w:rPr>
            </w:pPr>
            <w:r>
              <w:rPr>
                <w:rStyle w:val="6"/>
                <w:rFonts w:hint="eastAsia"/>
                <w:sz w:val="24"/>
                <w:szCs w:val="24"/>
              </w:rPr>
              <w:t>中宣部全国宣传干部学院教研部副主任、中国人民大学法律社会学研究所研究员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优秀</w:t>
            </w:r>
          </w:p>
          <w:p>
            <w:pPr>
              <w:jc w:val="center"/>
              <w:rPr>
                <w:rFonts w:ascii="仿宋" w:hAnsi="仿宋" w:eastAsia="仿宋" w:cs="仿宋"/>
                <w:sz w:val="24"/>
                <w:szCs w:val="24"/>
              </w:rPr>
            </w:pPr>
            <w:r>
              <w:rPr>
                <w:rFonts w:hint="eastAsia" w:ascii="仿宋" w:hAnsi="仿宋" w:eastAsia="仿宋" w:cs="仿宋"/>
                <w:sz w:val="24"/>
                <w:szCs w:val="24"/>
              </w:rPr>
              <w:t>党员</w:t>
            </w:r>
          </w:p>
          <w:p>
            <w:pPr>
              <w:jc w:val="center"/>
              <w:rPr>
                <w:rFonts w:ascii="仿宋" w:hAnsi="仿宋" w:eastAsia="仿宋" w:cs="仿宋"/>
                <w:sz w:val="24"/>
                <w:szCs w:val="24"/>
              </w:rPr>
            </w:pPr>
            <w:r>
              <w:rPr>
                <w:rFonts w:hint="eastAsia" w:ascii="仿宋" w:hAnsi="仿宋" w:eastAsia="仿宋" w:cs="仿宋"/>
                <w:sz w:val="24"/>
                <w:szCs w:val="24"/>
              </w:rPr>
              <w:t>事迹</w:t>
            </w:r>
          </w:p>
        </w:tc>
        <w:tc>
          <w:tcPr>
            <w:tcW w:w="4320" w:type="dxa"/>
            <w:vAlign w:val="center"/>
          </w:tcPr>
          <w:p>
            <w:pPr>
              <w:widowControl/>
              <w:textAlignment w:val="bottom"/>
              <w:rPr>
                <w:rStyle w:val="6"/>
                <w:sz w:val="24"/>
                <w:szCs w:val="24"/>
              </w:rPr>
            </w:pPr>
            <w:r>
              <w:rPr>
                <w:rStyle w:val="6"/>
                <w:rFonts w:hint="eastAsia"/>
                <w:sz w:val="24"/>
                <w:szCs w:val="24"/>
              </w:rPr>
              <w:t>从毛泽东的逆境革命人生看共产党人的胸怀</w:t>
            </w:r>
          </w:p>
        </w:tc>
        <w:tc>
          <w:tcPr>
            <w:tcW w:w="941" w:type="dxa"/>
            <w:vAlign w:val="center"/>
          </w:tcPr>
          <w:p>
            <w:pPr>
              <w:widowControl/>
              <w:textAlignment w:val="bottom"/>
              <w:rPr>
                <w:rStyle w:val="6"/>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黄文秀-扶贫之花</w:t>
            </w:r>
          </w:p>
        </w:tc>
        <w:tc>
          <w:tcPr>
            <w:tcW w:w="941" w:type="dxa"/>
            <w:vAlign w:val="center"/>
          </w:tcPr>
          <w:p>
            <w:pPr>
              <w:widowControl/>
              <w:textAlignment w:val="bottom"/>
              <w:rPr>
                <w:rStyle w:val="6"/>
                <w:sz w:val="24"/>
                <w:szCs w:val="24"/>
              </w:rPr>
            </w:pPr>
            <w:r>
              <w:rPr>
                <w:rStyle w:val="6"/>
                <w:rFonts w:hint="eastAsia"/>
                <w:sz w:val="24"/>
                <w:szCs w:val="24"/>
              </w:rPr>
              <w:t>专题片</w:t>
            </w:r>
          </w:p>
        </w:tc>
        <w:tc>
          <w:tcPr>
            <w:tcW w:w="2517" w:type="dxa"/>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6"/>
                <w:sz w:val="24"/>
                <w:szCs w:val="24"/>
              </w:rPr>
            </w:pPr>
            <w:r>
              <w:rPr>
                <w:rStyle w:val="6"/>
                <w:rFonts w:hint="eastAsia"/>
                <w:sz w:val="24"/>
                <w:szCs w:val="24"/>
              </w:rPr>
              <w:t>守护初心 践行使命 做新时代优秀的共产党员——践行篇</w:t>
            </w:r>
          </w:p>
        </w:tc>
        <w:tc>
          <w:tcPr>
            <w:tcW w:w="941" w:type="dxa"/>
            <w:vAlign w:val="center"/>
          </w:tcPr>
          <w:p>
            <w:pPr>
              <w:widowControl/>
              <w:textAlignment w:val="bottom"/>
              <w:rPr>
                <w:rStyle w:val="6"/>
                <w:sz w:val="24"/>
                <w:szCs w:val="24"/>
              </w:rPr>
            </w:pPr>
            <w:r>
              <w:rPr>
                <w:rStyle w:val="6"/>
                <w:rFonts w:hint="eastAsia"/>
                <w:sz w:val="24"/>
                <w:szCs w:val="24"/>
              </w:rPr>
              <w:t>微  课</w:t>
            </w:r>
          </w:p>
        </w:tc>
        <w:tc>
          <w:tcPr>
            <w:tcW w:w="2517" w:type="dxa"/>
            <w:vAlign w:val="center"/>
          </w:tcPr>
          <w:p>
            <w:pPr>
              <w:widowControl/>
              <w:textAlignment w:val="bottom"/>
              <w:rPr>
                <w:rStyle w:val="6"/>
                <w:sz w:val="24"/>
                <w:szCs w:val="24"/>
              </w:rPr>
            </w:pPr>
          </w:p>
        </w:tc>
      </w:tr>
    </w:tbl>
    <w:p>
      <w:pPr>
        <w:pStyle w:val="7"/>
        <w:spacing w:line="360" w:lineRule="exact"/>
        <w:ind w:left="-79" w:leftChars="-87" w:right="-81" w:rightChars="-27" w:hanging="182" w:hangingChars="76"/>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rPr>
        <w:t>.</w:t>
      </w:r>
      <w:r>
        <w:rPr>
          <w:rFonts w:hint="eastAsia" w:ascii="楷体" w:hAnsi="楷体" w:eastAsia="楷体" w:cs="仿宋"/>
          <w:color w:val="auto"/>
        </w:rPr>
        <w:t>个别课程或稍有调整，请以平台最终发布课程为准；</w:t>
      </w:r>
    </w:p>
    <w:p>
      <w:pPr>
        <w:pStyle w:val="7"/>
        <w:spacing w:line="360" w:lineRule="exact"/>
        <w:ind w:left="405" w:leftChars="135" w:right="-81" w:rightChars="-27" w:firstLine="240" w:firstLineChars="100"/>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72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paragraph" w:styleId="2">
    <w:name w:val="heading 1"/>
    <w:basedOn w:val="1"/>
    <w:next w:val="1"/>
    <w:qFormat/>
    <w:uiPriority w:val="9"/>
    <w:pPr>
      <w:keepNext/>
      <w:keepLines/>
      <w:widowControl/>
      <w:spacing w:before="340" w:after="330" w:line="578" w:lineRule="auto"/>
      <w:outlineLvl w:val="0"/>
    </w:pPr>
    <w:rPr>
      <w:rFonts w:ascii="Calibri" w:hAnsi="Calibri" w:eastAsia="宋体"/>
      <w:b/>
      <w:bCs/>
      <w:kern w:val="44"/>
      <w:sz w:val="32"/>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111"/>
    <w:basedOn w:val="5"/>
    <w:qFormat/>
    <w:uiPriority w:val="0"/>
    <w:rPr>
      <w:rFonts w:ascii="仿宋" w:hAnsi="仿宋" w:eastAsia="仿宋" w:cs="仿宋"/>
      <w:color w:val="000000"/>
      <w:sz w:val="28"/>
      <w:szCs w:val="28"/>
      <w:u w:val="none"/>
    </w:rPr>
  </w:style>
  <w:style w:type="paragraph" w:customStyle="1" w:styleId="7">
    <w:name w:val="00正文"/>
    <w:basedOn w:val="1"/>
    <w:qFormat/>
    <w:uiPriority w:val="0"/>
    <w:pPr>
      <w:widowControl/>
      <w:spacing w:line="360" w:lineRule="auto"/>
      <w:ind w:firstLine="480" w:firstLineChars="200"/>
      <w:textAlignment w:val="baseline"/>
    </w:pPr>
    <w:rPr>
      <w:rFonts w:ascii="仿宋_GB2312" w:hAnsi="宋体"/>
      <w:color w:val="00000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2020-04-30T04:12:36Z</dcterms:created>
  <dc:creator>liuqing</dc:creator>
  <cp:lastModifiedBy>liuqing</cp:lastModifiedBy>
  <dcterms:modified xsi:type="dcterms:W3CDTF">2020-04-30T04:13:09Z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