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widowControl/>
        <w:spacing w:line="600" w:lineRule="exact"/>
        <w:jc w:val="center"/>
        <w:rPr>
          <w:rFonts w:hint="eastAsia" w:ascii="华文中宋" w:hAnsi="华文中宋" w:eastAsia="华文中宋" w:cs="华文中宋"/>
          <w:bCs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</w:rPr>
        <w:t>湖南女子学院第五期预备党员培训班</w:t>
      </w:r>
    </w:p>
    <w:p>
      <w:pPr>
        <w:spacing w:line="500" w:lineRule="exact"/>
        <w:ind w:left="1918" w:leftChars="304" w:hanging="1280" w:hangingChars="400"/>
        <w:jc w:val="center"/>
        <w:rPr>
          <w:rFonts w:hint="eastAsia" w:ascii="华文中宋" w:hAnsi="华文中宋" w:eastAsia="华文中宋" w:cs="仿宋"/>
          <w:sz w:val="32"/>
          <w:szCs w:val="32"/>
        </w:rPr>
      </w:pP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</w:rPr>
        <w:t>网络培训必修课程列表</w:t>
      </w:r>
    </w:p>
    <w:tbl>
      <w:tblPr>
        <w:tblStyle w:val="3"/>
        <w:tblW w:w="8719" w:type="dxa"/>
        <w:tblInd w:w="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4320"/>
        <w:gridCol w:w="941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</w:rPr>
              <w:t>课程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</w:rPr>
              <w:t>模块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</w:rPr>
              <w:t>主讲人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1" w:type="dxa"/>
            <w:vMerge w:val="restart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习近平新时代中国</w:t>
            </w:r>
          </w:p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特色</w:t>
            </w:r>
          </w:p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社会</w:t>
            </w:r>
          </w:p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主义</w:t>
            </w:r>
          </w:p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理论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开辟“中国之治”新境界——十九届四中全会总体精神解读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许耀桐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中共中央党校(国家行政学院)原科研部主任、教授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“八个明确”“十四个坚持”的科学体系和丰富内涵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侯衍社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中国人民大学马克思主义学院教授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41" w:type="dxa"/>
            <w:vMerge w:val="continue"/>
            <w:noWrap w:val="0"/>
            <w:vAlign w:val="top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开启全面建设社会主义现代化国家新征程—关于新时代坚持和发展中国特色社会主义的战略安排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徐庆红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北京化工大学教授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41" w:type="dxa"/>
            <w:vMerge w:val="continue"/>
            <w:noWrap w:val="0"/>
            <w:vAlign w:val="top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中国共产党领导是中国特色社会主义最本质特征—关于新时代坚持和发展中国特色社会主义的领导力量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徐庆红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北京化工大学教授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1" w:type="dxa"/>
            <w:vMerge w:val="continue"/>
            <w:noWrap w:val="0"/>
            <w:vAlign w:val="top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坚定文化自信 推动社会主义文化强国建设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范玉刚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1" w:type="dxa"/>
            <w:vMerge w:val="continue"/>
            <w:noWrap w:val="0"/>
            <w:vAlign w:val="top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习近平的政治哲学观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冯颜利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中国社会科学院哲学所副所长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1" w:type="dxa"/>
            <w:vMerge w:val="continue"/>
            <w:noWrap w:val="0"/>
            <w:vAlign w:val="top"/>
          </w:tcPr>
          <w:p>
            <w:pPr>
              <w:pStyle w:val="2"/>
              <w:ind w:firstLine="4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习式“矛盾”论：正确处理“五对矛盾”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微  课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党史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国史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教育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新中国70年发展与中国共产党的领导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徐  斌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北京师范大学马克思主义学院教授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从“一边倒”到“大国外交”——建国70周年新中国外交战略的演变及经验总结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宋  伟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中国人民大学国际关系学院教授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4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党史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国史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教育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中国改革40年若干深层理论思考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常修泽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中国宏观经济研究院教授、清华大学中国经济研究中心研究员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铭记瑞金：第一个全国性红色政权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戴立兴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中国社科院马研院党建党史室主任、研究员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从历史转折看党的初心和使命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王炳林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教育部高等学校社会科学发展研究中心</w:t>
            </w:r>
          </w:p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党纪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党规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新版《中国共产党纪律处分条例》解读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  春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中共中央党校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1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《中国共产党党内监督条例》系列</w:t>
            </w:r>
          </w:p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微课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微  课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1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《关于新形势下党内政治生活的若干准则》系列微课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微  课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41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夯实基层党建最后一公里——学习解读《中国共产党党员教育管理工作条例》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陈冬生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预备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党员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的教育考察和转正</w:t>
            </w: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党员预备期的含义与意义</w:t>
            </w:r>
          </w:p>
        </w:tc>
        <w:tc>
          <w:tcPr>
            <w:tcW w:w="94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微  课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517" w:type="dxa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高校大学生预备党员系列微课</w:t>
            </w:r>
          </w:p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1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预备期的重要性</w:t>
            </w:r>
          </w:p>
        </w:tc>
        <w:tc>
          <w:tcPr>
            <w:tcW w:w="94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517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1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预备党员的教育</w:t>
            </w:r>
          </w:p>
        </w:tc>
        <w:tc>
          <w:tcPr>
            <w:tcW w:w="94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517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1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预备党员的考察</w:t>
            </w:r>
          </w:p>
        </w:tc>
        <w:tc>
          <w:tcPr>
            <w:tcW w:w="94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517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1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预备党员的转正</w:t>
            </w:r>
          </w:p>
        </w:tc>
        <w:tc>
          <w:tcPr>
            <w:tcW w:w="94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517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1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转正申请的写法和要求</w:t>
            </w:r>
          </w:p>
        </w:tc>
        <w:tc>
          <w:tcPr>
            <w:tcW w:w="94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517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1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入党宣誓的重要意义</w:t>
            </w:r>
          </w:p>
        </w:tc>
        <w:tc>
          <w:tcPr>
            <w:tcW w:w="94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517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1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入党宣誓仪式</w:t>
            </w:r>
          </w:p>
        </w:tc>
        <w:tc>
          <w:tcPr>
            <w:tcW w:w="94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517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1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如何提高预备党员的核心素质</w:t>
            </w:r>
          </w:p>
        </w:tc>
        <w:tc>
          <w:tcPr>
            <w:tcW w:w="94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517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1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准确掌握共产党员的标准</w:t>
            </w:r>
          </w:p>
        </w:tc>
        <w:tc>
          <w:tcPr>
            <w:tcW w:w="94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517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1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照一照“党员标准”这面镜子</w:t>
            </w:r>
          </w:p>
        </w:tc>
        <w:tc>
          <w:tcPr>
            <w:tcW w:w="94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517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以实际行动，争取早日入党</w:t>
            </w:r>
          </w:p>
        </w:tc>
        <w:tc>
          <w:tcPr>
            <w:tcW w:w="94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517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党性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修养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提升</w:t>
            </w: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党性修养——共产党员的一门必修课</w:t>
            </w:r>
          </w:p>
        </w:tc>
        <w:tc>
          <w:tcPr>
            <w:tcW w:w="9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石国亮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首都师范大学马克思主义学院教授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铭记五四运动，传承五四精神</w:t>
            </w:r>
          </w:p>
        </w:tc>
        <w:tc>
          <w:tcPr>
            <w:tcW w:w="9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胡献忠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中国青少年研究中心办公室主任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“互联网+”背景下历史虚无主义的危害及应对</w:t>
            </w:r>
          </w:p>
        </w:tc>
        <w:tc>
          <w:tcPr>
            <w:tcW w:w="9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徐鹏堂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从梁家河知青岁月追寻习近平的初心与使命</w:t>
            </w:r>
          </w:p>
        </w:tc>
        <w:tc>
          <w:tcPr>
            <w:tcW w:w="9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夏  泉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暨南大学党委副书记兼纪委书记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1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坚定理想信念 做忠诚的青年马克思主义者</w:t>
            </w:r>
          </w:p>
        </w:tc>
        <w:tc>
          <w:tcPr>
            <w:tcW w:w="9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冯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培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首都经济贸易大学党委书记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优秀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党员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事迹</w:t>
            </w: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采茶戏：杜鹃花开</w:t>
            </w:r>
          </w:p>
        </w:tc>
        <w:tc>
          <w:tcPr>
            <w:tcW w:w="9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故事片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江西干部学院教职工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1" w:type="dxa"/>
            <w:vMerge w:val="continue"/>
            <w:shd w:val="clear" w:color="auto" w:fill="auto"/>
            <w:noWrap w:val="0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张富清-本色英雄</w:t>
            </w:r>
          </w:p>
        </w:tc>
        <w:tc>
          <w:tcPr>
            <w:tcW w:w="9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专题片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1" w:type="dxa"/>
            <w:vMerge w:val="continue"/>
            <w:shd w:val="clear" w:color="auto" w:fill="auto"/>
            <w:noWrap w:val="0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李连城-吃亏书记</w:t>
            </w:r>
          </w:p>
        </w:tc>
        <w:tc>
          <w:tcPr>
            <w:tcW w:w="9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专题片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1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ind w:firstLine="480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守护初心 践行使命 做新时代优秀的共产党员——理论篇</w:t>
            </w:r>
          </w:p>
        </w:tc>
        <w:tc>
          <w:tcPr>
            <w:tcW w:w="9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微  课</w:t>
            </w:r>
          </w:p>
        </w:tc>
        <w:tc>
          <w:tcPr>
            <w:tcW w:w="2517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1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ind w:firstLine="480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守护初心 践行使命 做新时代优秀的共产党员——指引篇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微  课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widowControl/>
              <w:ind w:firstLine="480"/>
              <w:textAlignment w:val="bottom"/>
              <w:rPr>
                <w:rStyle w:val="5"/>
                <w:rFonts w:ascii="Times New Roman" w:hAnsi="Times New Roman"/>
                <w:kern w:val="0"/>
                <w:sz w:val="24"/>
              </w:rPr>
            </w:pPr>
          </w:p>
        </w:tc>
      </w:tr>
    </w:tbl>
    <w:p>
      <w:pPr>
        <w:spacing w:line="500" w:lineRule="exact"/>
        <w:ind w:left="1918" w:leftChars="304" w:hanging="1280" w:hangingChars="4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spacing w:line="600" w:lineRule="exact"/>
        <w:jc w:val="center"/>
        <w:rPr>
          <w:rFonts w:hint="eastAsia" w:ascii="华文中宋" w:hAnsi="华文中宋" w:eastAsia="华文中宋" w:cs="华文中宋"/>
          <w:bCs/>
          <w:color w:val="00000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ascii="华文中宋" w:hAnsi="华文中宋" w:eastAsia="华文中宋" w:cs="华文中宋"/>
          <w:bCs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</w:rPr>
        <w:t>湖南女子学院第五期预备党员培训班</w:t>
      </w:r>
    </w:p>
    <w:p>
      <w:pPr>
        <w:spacing w:line="500" w:lineRule="exact"/>
        <w:ind w:left="1918" w:leftChars="304" w:hanging="1280" w:hangingChars="400"/>
        <w:jc w:val="center"/>
        <w:rPr>
          <w:rFonts w:hint="eastAsia" w:ascii="华文中宋" w:hAnsi="华文中宋" w:eastAsia="华文中宋" w:cs="华文中宋"/>
          <w:bCs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</w:rPr>
        <w:t>网络培训选修课程列表</w:t>
      </w:r>
    </w:p>
    <w:tbl>
      <w:tblPr>
        <w:tblStyle w:val="3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4349"/>
        <w:gridCol w:w="948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tblHeader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</w:rPr>
              <w:t>课程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</w:rPr>
              <w:t>模块</w:t>
            </w:r>
          </w:p>
        </w:tc>
        <w:tc>
          <w:tcPr>
            <w:tcW w:w="434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</w:rPr>
              <w:t>课程名称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</w:rPr>
              <w:t>主讲人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ind w:firstLine="482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疫情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防控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与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舆情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应对</w:t>
            </w:r>
          </w:p>
        </w:tc>
        <w:tc>
          <w:tcPr>
            <w:tcW w:w="4349" w:type="dxa"/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《新型冠状病毒感染的肺炎公众防护指南》——消除恐慌理性应对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专题片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349" w:type="dxa"/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抗击疫情，你一定要做的四件事！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专题片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349" w:type="dxa"/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为避开疫情，我们该如何保护自己？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专题片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349" w:type="dxa"/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网络舆情与大学生媒介素养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张艳秋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中国传媒大学新闻传播学部党委副书记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349" w:type="dxa"/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“互联网+”时代教育突发事件的信息发布与舆情应对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杨艳玲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国家教育行政学院社会科学教研部主任、副教授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349" w:type="dxa"/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重大事件网上舆论引导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符  雷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中央网信办网络应急管理和网络舆情局副局长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心理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健康 与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压力 管理</w:t>
            </w:r>
          </w:p>
        </w:tc>
        <w:tc>
          <w:tcPr>
            <w:tcW w:w="4349" w:type="dxa"/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压力管理与心理健康促进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樊富珉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清华大学社会科学学院心理学系副主任、教授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4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349" w:type="dxa"/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积极心态、责任担当与压力调适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胡月星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4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349" w:type="dxa"/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科学应对压力，维护身心健康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祝卓宏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中国科学院心理研究所教授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4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349" w:type="dxa"/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网络互联时代与心理健康促进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张西超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北京师范大学心理学院教授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4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349" w:type="dxa"/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大学生心理健康的自我维护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赵丽琴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北京工业大学社会科学学院教授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职业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规划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与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就业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指导</w:t>
            </w:r>
          </w:p>
        </w:tc>
        <w:tc>
          <w:tcPr>
            <w:tcW w:w="4349" w:type="dxa"/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国际职业资格证书和智慧学习工场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贾洪雷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人社部国家职业技能鉴定专家委员会专家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349" w:type="dxa"/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大学生职业生涯规划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蒋建荣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南开大学周恩来政府管理学院副教授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4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349" w:type="dxa"/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毕业生如何进行职业抉择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周晓凡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北京人力资源服务行业协会副会长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4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349" w:type="dxa"/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高校毕业生就业形势分析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岳昌君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北京大学教育经济研究所副所长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4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349" w:type="dxa"/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沟通艺术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姚小玲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北京航空航天大学教授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4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349" w:type="dxa"/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会务礼仪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韩晓洁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中央广播电视大学特聘商务礼仪讲师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道德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修养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与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法律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基础</w:t>
            </w:r>
          </w:p>
        </w:tc>
        <w:tc>
          <w:tcPr>
            <w:tcW w:w="4349" w:type="dxa"/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为什么要学习宪法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微  课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349" w:type="dxa"/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为什么必须学习宪法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微  课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349" w:type="dxa"/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中国宪法的由来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微  课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349" w:type="dxa"/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载入“新时代”的2018年宪法修正案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微  课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349" w:type="dxa"/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道德力与社会进步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王小锡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中央马克思主义理论研究和建设工程首席专家、南京师范大学马克思主义学院教授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人文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素养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与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文化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自信</w:t>
            </w:r>
          </w:p>
        </w:tc>
        <w:tc>
          <w:tcPr>
            <w:tcW w:w="4349" w:type="dxa"/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文化人的幸福生活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赵庆杰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中国政法大学马克思主义学院教授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48" w:type="dxa"/>
            <w:vMerge w:val="continue"/>
            <w:noWrap w:val="0"/>
            <w:vAlign w:val="top"/>
          </w:tcPr>
          <w:p>
            <w:pPr>
              <w:widowControl/>
              <w:ind w:firstLine="48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349" w:type="dxa"/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走进音乐的世界——兼谈艺术对人生幸福与事业成功的重要性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周海宏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中央音乐学院原副院长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48" w:type="dxa"/>
            <w:vMerge w:val="continue"/>
            <w:noWrap w:val="0"/>
            <w:vAlign w:val="top"/>
          </w:tcPr>
          <w:p>
            <w:pPr>
              <w:widowControl/>
              <w:ind w:firstLine="48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349" w:type="dxa"/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环境与健康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孙  英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中国农业大学教授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48" w:type="dxa"/>
            <w:vMerge w:val="continue"/>
            <w:noWrap w:val="0"/>
            <w:vAlign w:val="top"/>
          </w:tcPr>
          <w:p>
            <w:pPr>
              <w:widowControl/>
              <w:ind w:firstLine="48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349" w:type="dxa"/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中华文化自信——明礼守法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曾仕强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中国式管理大师、全球华人中国式管理第一人、台湾师范大学教授</w:t>
            </w:r>
          </w:p>
        </w:tc>
      </w:tr>
    </w:tbl>
    <w:p>
      <w:pPr>
        <w:pStyle w:val="6"/>
        <w:spacing w:line="360" w:lineRule="exact"/>
        <w:ind w:left="-2" w:leftChars="-1" w:right="-57" w:rightChars="-27" w:firstLine="1" w:firstLineChars="0"/>
        <w:rPr>
          <w:rFonts w:ascii="楷体" w:hAnsi="楷体" w:eastAsia="楷体" w:cs="仿宋"/>
          <w:color w:val="auto"/>
        </w:rPr>
      </w:pPr>
      <w:r>
        <w:rPr>
          <w:rFonts w:ascii="楷体" w:hAnsi="楷体" w:eastAsia="楷体" w:cs="仿宋"/>
          <w:color w:val="auto"/>
        </w:rPr>
        <w:t>说明</w:t>
      </w:r>
      <w:r>
        <w:rPr>
          <w:rFonts w:hint="eastAsia" w:ascii="楷体" w:hAnsi="楷体" w:eastAsia="楷体" w:cs="仿宋"/>
          <w:color w:val="auto"/>
        </w:rPr>
        <w:t>：</w:t>
      </w:r>
      <w:r>
        <w:rPr>
          <w:rFonts w:ascii="Times New Roman" w:hAnsi="Times New Roman" w:eastAsia="楷体"/>
          <w:color w:val="auto"/>
        </w:rPr>
        <w:t>1</w:t>
      </w:r>
      <w:r>
        <w:rPr>
          <w:rFonts w:hint="eastAsia" w:ascii="Times New Roman" w:hAnsi="Times New Roman" w:eastAsia="楷体"/>
          <w:color w:val="auto"/>
        </w:rPr>
        <w:t>.</w:t>
      </w:r>
      <w:r>
        <w:rPr>
          <w:rFonts w:hint="eastAsia" w:ascii="楷体" w:hAnsi="楷体" w:eastAsia="楷体" w:cs="仿宋"/>
          <w:color w:val="auto"/>
        </w:rPr>
        <w:t>个别课程或稍有调整，请以平台最终发布课程为准；</w:t>
      </w:r>
    </w:p>
    <w:p>
      <w:pPr>
        <w:pStyle w:val="6"/>
        <w:spacing w:line="360" w:lineRule="exact"/>
        <w:ind w:left="424" w:leftChars="202" w:right="-57" w:rightChars="-27" w:firstLine="240" w:firstLineChars="100"/>
        <w:rPr>
          <w:rFonts w:ascii="楷体" w:hAnsi="楷体" w:eastAsia="楷体" w:cs="仿宋"/>
          <w:color w:val="auto"/>
        </w:rPr>
      </w:pPr>
      <w:r>
        <w:rPr>
          <w:rFonts w:ascii="Times New Roman" w:hAnsi="Times New Roman" w:eastAsia="楷体"/>
          <w:color w:val="auto"/>
        </w:rPr>
        <w:t>2.</w:t>
      </w:r>
      <w:r>
        <w:rPr>
          <w:rFonts w:ascii="楷体" w:hAnsi="楷体" w:eastAsia="楷体" w:cs="仿宋"/>
          <w:color w:val="auto"/>
        </w:rPr>
        <w:t>课程主讲人职务为课程录制时的职务</w:t>
      </w:r>
      <w:r>
        <w:rPr>
          <w:rFonts w:hint="eastAsia" w:ascii="楷体" w:hAnsi="楷体" w:eastAsia="楷体" w:cs="仿宋"/>
          <w:color w:val="auto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3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1"/>
    <w:basedOn w:val="4"/>
    <w:qFormat/>
    <w:uiPriority w:val="0"/>
    <w:rPr>
      <w:rFonts w:ascii="仿宋" w:hAnsi="仿宋" w:eastAsia="仿宋" w:cs="仿宋"/>
      <w:color w:val="000000"/>
      <w:sz w:val="28"/>
      <w:szCs w:val="28"/>
      <w:u w:val="none"/>
    </w:rPr>
  </w:style>
  <w:style w:type="paragraph" w:customStyle="1" w:styleId="6">
    <w:name w:val="00正文"/>
    <w:basedOn w:val="1"/>
    <w:qFormat/>
    <w:uiPriority w:val="0"/>
    <w:pPr>
      <w:widowControl/>
      <w:spacing w:line="360" w:lineRule="auto"/>
      <w:ind w:firstLine="480" w:firstLineChars="200"/>
      <w:textAlignment w:val="baseline"/>
    </w:pPr>
    <w:rPr>
      <w:rFonts w:ascii="仿宋_GB2312" w:hAnsi="宋体" w:eastAsia="仿宋_GB2312"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2020-05-25T09:23:56Z</dcterms:created>
  <dc:creator>liuqing</dc:creator>
  <cp:lastModifiedBy>liuqing</cp:lastModifiedBy>
  <dcterms:modified xsi:type="dcterms:W3CDTF">2020-05-25T09:24:33Z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