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rPr>
          <w:rFonts w:eastAsia="仿宋_GB2312"/>
          <w:b/>
          <w:sz w:val="28"/>
          <w:szCs w:val="28"/>
        </w:rPr>
      </w:pPr>
      <w:r>
        <w:rPr>
          <w:rFonts w:eastAsia="仿宋_GB2312"/>
          <w:b/>
          <w:sz w:val="28"/>
          <w:szCs w:val="28"/>
        </w:rPr>
        <w:t>附件1</w:t>
      </w:r>
    </w:p>
    <w:p>
      <w:pPr>
        <w:adjustRightInd w:val="0"/>
        <w:snapToGrid w:val="0"/>
        <w:spacing w:line="620" w:lineRule="exact"/>
        <w:ind w:firstLine="720" w:firstLineChars="200"/>
        <w:jc w:val="center"/>
        <w:rPr>
          <w:rFonts w:eastAsia="方正小标宋简体"/>
          <w:sz w:val="36"/>
          <w:szCs w:val="36"/>
        </w:rPr>
      </w:pPr>
      <w:r>
        <w:rPr>
          <w:rFonts w:eastAsia="方正小标宋简体"/>
          <w:sz w:val="36"/>
          <w:szCs w:val="36"/>
        </w:rPr>
        <w:t>培训日程安排</w:t>
      </w:r>
    </w:p>
    <w:p>
      <w:pPr>
        <w:adjustRightInd w:val="0"/>
        <w:snapToGrid w:val="0"/>
        <w:spacing w:line="620" w:lineRule="exact"/>
        <w:ind w:firstLine="640" w:firstLineChars="200"/>
        <w:jc w:val="center"/>
        <w:rPr>
          <w:rFonts w:eastAsia="仿宋_GB2312"/>
          <w:sz w:val="32"/>
          <w:szCs w:val="32"/>
        </w:rPr>
      </w:pPr>
    </w:p>
    <w:tbl>
      <w:tblPr>
        <w:tblStyle w:val="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992"/>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51" w:type="dxa"/>
            <w:vAlign w:val="center"/>
          </w:tcPr>
          <w:p>
            <w:pPr>
              <w:spacing w:line="240" w:lineRule="atLeast"/>
              <w:jc w:val="center"/>
              <w:rPr>
                <w:rFonts w:eastAsia="黑体"/>
                <w:sz w:val="24"/>
              </w:rPr>
            </w:pPr>
            <w:r>
              <w:rPr>
                <w:rFonts w:eastAsia="黑体"/>
                <w:sz w:val="24"/>
              </w:rPr>
              <w:t>时  间</w:t>
            </w:r>
          </w:p>
        </w:tc>
        <w:tc>
          <w:tcPr>
            <w:tcW w:w="3402" w:type="dxa"/>
            <w:vAlign w:val="center"/>
          </w:tcPr>
          <w:p>
            <w:pPr>
              <w:spacing w:line="240" w:lineRule="atLeast"/>
              <w:jc w:val="center"/>
              <w:rPr>
                <w:rFonts w:eastAsia="黑体"/>
                <w:sz w:val="24"/>
              </w:rPr>
            </w:pPr>
            <w:r>
              <w:rPr>
                <w:rFonts w:eastAsia="黑体"/>
                <w:sz w:val="24"/>
              </w:rPr>
              <w:t>内  容</w:t>
            </w:r>
          </w:p>
        </w:tc>
        <w:tc>
          <w:tcPr>
            <w:tcW w:w="992" w:type="dxa"/>
            <w:vAlign w:val="center"/>
          </w:tcPr>
          <w:p>
            <w:pPr>
              <w:spacing w:line="240" w:lineRule="atLeast"/>
              <w:jc w:val="center"/>
              <w:rPr>
                <w:rFonts w:eastAsia="黑体"/>
                <w:sz w:val="24"/>
              </w:rPr>
            </w:pPr>
            <w:r>
              <w:rPr>
                <w:rFonts w:eastAsia="黑体"/>
                <w:sz w:val="24"/>
              </w:rPr>
              <w:t>报告人</w:t>
            </w:r>
          </w:p>
        </w:tc>
        <w:tc>
          <w:tcPr>
            <w:tcW w:w="993" w:type="dxa"/>
            <w:vAlign w:val="center"/>
          </w:tcPr>
          <w:p>
            <w:pPr>
              <w:spacing w:line="240" w:lineRule="atLeast"/>
              <w:jc w:val="center"/>
              <w:rPr>
                <w:rFonts w:eastAsia="黑体"/>
                <w:sz w:val="24"/>
              </w:rPr>
            </w:pPr>
            <w:r>
              <w:rPr>
                <w:rFonts w:eastAsia="黑体"/>
                <w:sz w:val="24"/>
              </w:rPr>
              <w:t>主持人</w:t>
            </w:r>
          </w:p>
        </w:tc>
        <w:tc>
          <w:tcPr>
            <w:tcW w:w="1275" w:type="dxa"/>
            <w:vAlign w:val="center"/>
          </w:tcPr>
          <w:p>
            <w:pPr>
              <w:spacing w:line="240" w:lineRule="atLeast"/>
              <w:jc w:val="center"/>
              <w:rPr>
                <w:rFonts w:eastAsia="黑体"/>
                <w:sz w:val="24"/>
              </w:rPr>
            </w:pPr>
            <w:r>
              <w:rPr>
                <w:rFonts w:eastAsia="黑体"/>
                <w:sz w:val="24"/>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951" w:type="dxa"/>
            <w:vMerge w:val="restart"/>
            <w:vAlign w:val="center"/>
          </w:tcPr>
          <w:p>
            <w:pPr>
              <w:spacing w:line="240" w:lineRule="atLeast"/>
              <w:ind w:left="480" w:hanging="480"/>
              <w:rPr>
                <w:rFonts w:eastAsia="仿宋_GB2312"/>
                <w:spacing w:val="-20"/>
                <w:sz w:val="24"/>
              </w:rPr>
            </w:pPr>
            <w:r>
              <w:rPr>
                <w:rFonts w:hint="eastAsia" w:eastAsia="仿宋_GB2312"/>
                <w:spacing w:val="-20"/>
                <w:sz w:val="24"/>
              </w:rPr>
              <w:t>11</w:t>
            </w:r>
            <w:r>
              <w:rPr>
                <w:rFonts w:eastAsia="仿宋_GB2312"/>
                <w:spacing w:val="-20"/>
                <w:sz w:val="24"/>
              </w:rPr>
              <w:t>月</w:t>
            </w:r>
            <w:r>
              <w:rPr>
                <w:rFonts w:hint="eastAsia" w:eastAsia="仿宋_GB2312"/>
                <w:spacing w:val="-20"/>
                <w:sz w:val="24"/>
              </w:rPr>
              <w:t>11</w:t>
            </w:r>
            <w:r>
              <w:rPr>
                <w:rFonts w:eastAsia="仿宋_GB2312"/>
                <w:spacing w:val="-20"/>
                <w:sz w:val="24"/>
              </w:rPr>
              <w:t>日（周</w:t>
            </w:r>
            <w:r>
              <w:rPr>
                <w:rFonts w:hint="eastAsia" w:eastAsia="仿宋_GB2312"/>
                <w:spacing w:val="-20"/>
                <w:sz w:val="24"/>
              </w:rPr>
              <w:t>一</w:t>
            </w:r>
            <w:r>
              <w:rPr>
                <w:rFonts w:eastAsia="仿宋_GB2312"/>
                <w:spacing w:val="-20"/>
                <w:sz w:val="24"/>
              </w:rPr>
              <w:t>）</w:t>
            </w:r>
          </w:p>
          <w:p>
            <w:pPr>
              <w:spacing w:line="240" w:lineRule="atLeast"/>
              <w:ind w:left="480" w:hanging="480"/>
              <w:rPr>
                <w:rFonts w:eastAsia="仿宋_GB2312"/>
                <w:spacing w:val="-20"/>
                <w:sz w:val="24"/>
              </w:rPr>
            </w:pPr>
            <w:r>
              <w:rPr>
                <w:rFonts w:eastAsia="仿宋_GB2312"/>
                <w:spacing w:val="-20"/>
                <w:sz w:val="24"/>
              </w:rPr>
              <w:t>19：00－21：30</w:t>
            </w:r>
          </w:p>
        </w:tc>
        <w:tc>
          <w:tcPr>
            <w:tcW w:w="3402" w:type="dxa"/>
            <w:vAlign w:val="center"/>
          </w:tcPr>
          <w:p>
            <w:pPr>
              <w:spacing w:line="240" w:lineRule="atLeast"/>
              <w:rPr>
                <w:rFonts w:eastAsia="仿宋_GB2312"/>
                <w:b/>
                <w:sz w:val="24"/>
              </w:rPr>
            </w:pPr>
            <w:r>
              <w:rPr>
                <w:rFonts w:eastAsia="仿宋_GB2312"/>
                <w:b/>
                <w:sz w:val="24"/>
              </w:rPr>
              <w:t>开班典礼</w:t>
            </w:r>
          </w:p>
          <w:p>
            <w:pPr>
              <w:spacing w:line="240" w:lineRule="atLeast"/>
              <w:rPr>
                <w:rFonts w:eastAsia="仿宋_GB2312"/>
                <w:b/>
                <w:sz w:val="24"/>
              </w:rPr>
            </w:pPr>
            <w:r>
              <w:rPr>
                <w:rFonts w:eastAsia="仿宋_GB2312"/>
                <w:b/>
                <w:sz w:val="24"/>
              </w:rPr>
              <w:t>专题报告：</w:t>
            </w:r>
            <w:r>
              <w:rPr>
                <w:rFonts w:eastAsia="仿宋_GB2312"/>
                <w:sz w:val="24"/>
              </w:rPr>
              <w:t>牢固树立党章意识，争取成为合格党员</w:t>
            </w:r>
          </w:p>
        </w:tc>
        <w:tc>
          <w:tcPr>
            <w:tcW w:w="992" w:type="dxa"/>
            <w:vAlign w:val="center"/>
          </w:tcPr>
          <w:p>
            <w:pPr>
              <w:spacing w:line="240" w:lineRule="atLeast"/>
              <w:jc w:val="center"/>
              <w:rPr>
                <w:rFonts w:eastAsia="仿宋_GB2312"/>
                <w:sz w:val="24"/>
              </w:rPr>
            </w:pPr>
            <w:r>
              <w:rPr>
                <w:rFonts w:eastAsia="仿宋_GB2312"/>
                <w:sz w:val="24"/>
              </w:rPr>
              <w:t>费　迅</w:t>
            </w:r>
          </w:p>
        </w:tc>
        <w:tc>
          <w:tcPr>
            <w:tcW w:w="993" w:type="dxa"/>
            <w:vAlign w:val="center"/>
          </w:tcPr>
          <w:p>
            <w:pPr>
              <w:spacing w:line="240" w:lineRule="atLeast"/>
              <w:jc w:val="center"/>
              <w:rPr>
                <w:rFonts w:eastAsia="仿宋_GB2312"/>
                <w:sz w:val="24"/>
              </w:rPr>
            </w:pPr>
            <w:r>
              <w:rPr>
                <w:rFonts w:eastAsia="仿宋_GB2312"/>
                <w:sz w:val="24"/>
              </w:rPr>
              <w:t>党校</w:t>
            </w:r>
          </w:p>
        </w:tc>
        <w:tc>
          <w:tcPr>
            <w:tcW w:w="1275" w:type="dxa"/>
            <w:vMerge w:val="restart"/>
            <w:vAlign w:val="center"/>
          </w:tcPr>
          <w:p>
            <w:pPr>
              <w:spacing w:line="240" w:lineRule="atLeast"/>
              <w:rPr>
                <w:rFonts w:eastAsia="仿宋_GB2312"/>
                <w:sz w:val="24"/>
              </w:rPr>
            </w:pPr>
            <w:r>
              <w:rPr>
                <w:rFonts w:hint="eastAsia" w:eastAsia="仿宋_GB2312"/>
                <w:sz w:val="24"/>
              </w:rPr>
              <w:t>荷花池校区逸夫馆报告厅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51" w:type="dxa"/>
            <w:vMerge w:val="continue"/>
            <w:vAlign w:val="center"/>
          </w:tcPr>
          <w:p>
            <w:pPr>
              <w:spacing w:line="240" w:lineRule="atLeast"/>
              <w:ind w:left="480" w:hanging="480"/>
              <w:rPr>
                <w:rFonts w:eastAsia="仿宋_GB2312"/>
                <w:spacing w:val="-20"/>
                <w:sz w:val="24"/>
              </w:rPr>
            </w:pPr>
          </w:p>
        </w:tc>
        <w:tc>
          <w:tcPr>
            <w:tcW w:w="3402" w:type="dxa"/>
            <w:vAlign w:val="center"/>
          </w:tcPr>
          <w:p>
            <w:r>
              <w:rPr>
                <w:b/>
              </w:rPr>
              <w:t>专题报告：</w:t>
            </w:r>
            <w:r>
              <w:rPr>
                <w:rFonts w:eastAsia="仿宋_GB2312"/>
                <w:sz w:val="24"/>
              </w:rPr>
              <w:t>《关于新形势下党内政治生活的若干准则》解读</w:t>
            </w:r>
          </w:p>
        </w:tc>
        <w:tc>
          <w:tcPr>
            <w:tcW w:w="992" w:type="dxa"/>
            <w:vAlign w:val="center"/>
          </w:tcPr>
          <w:p>
            <w:pPr>
              <w:spacing w:line="240" w:lineRule="atLeast"/>
              <w:jc w:val="center"/>
              <w:rPr>
                <w:rFonts w:eastAsia="仿宋_GB2312"/>
                <w:sz w:val="24"/>
              </w:rPr>
            </w:pPr>
            <w:r>
              <w:rPr>
                <w:rFonts w:eastAsia="仿宋_GB2312"/>
                <w:sz w:val="24"/>
              </w:rPr>
              <w:t>林祖华</w:t>
            </w:r>
          </w:p>
        </w:tc>
        <w:tc>
          <w:tcPr>
            <w:tcW w:w="993" w:type="dxa"/>
            <w:vAlign w:val="center"/>
          </w:tcPr>
          <w:p>
            <w:pPr>
              <w:spacing w:line="240" w:lineRule="atLeast"/>
              <w:jc w:val="center"/>
              <w:rPr>
                <w:rFonts w:eastAsia="仿宋_GB2312"/>
                <w:sz w:val="24"/>
              </w:rPr>
            </w:pPr>
            <w:r>
              <w:rPr>
                <w:rFonts w:eastAsia="仿宋_GB2312"/>
                <w:sz w:val="24"/>
              </w:rPr>
              <w:t>党校</w:t>
            </w:r>
          </w:p>
        </w:tc>
        <w:tc>
          <w:tcPr>
            <w:tcW w:w="1275" w:type="dxa"/>
            <w:vMerge w:val="continue"/>
            <w:vAlign w:val="center"/>
          </w:tcPr>
          <w:p>
            <w:pPr>
              <w:spacing w:line="240" w:lineRule="atLeas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51" w:type="dxa"/>
            <w:vMerge w:val="restart"/>
            <w:vAlign w:val="center"/>
          </w:tcPr>
          <w:p>
            <w:pPr>
              <w:spacing w:line="240" w:lineRule="atLeast"/>
              <w:ind w:left="480" w:hanging="480"/>
              <w:rPr>
                <w:rFonts w:eastAsia="仿宋_GB2312"/>
                <w:spacing w:val="-20"/>
                <w:sz w:val="24"/>
              </w:rPr>
            </w:pPr>
            <w:r>
              <w:rPr>
                <w:rFonts w:hint="eastAsia" w:eastAsia="仿宋_GB2312"/>
                <w:spacing w:val="-20"/>
                <w:sz w:val="24"/>
              </w:rPr>
              <w:t>11</w:t>
            </w:r>
            <w:r>
              <w:rPr>
                <w:rFonts w:eastAsia="仿宋_GB2312"/>
                <w:spacing w:val="-20"/>
                <w:sz w:val="24"/>
              </w:rPr>
              <w:t>月</w:t>
            </w:r>
            <w:r>
              <w:rPr>
                <w:rFonts w:hint="eastAsia" w:eastAsia="仿宋_GB2312"/>
                <w:spacing w:val="-20"/>
                <w:sz w:val="24"/>
              </w:rPr>
              <w:t>13</w:t>
            </w:r>
            <w:r>
              <w:rPr>
                <w:rFonts w:eastAsia="仿宋_GB2312"/>
                <w:spacing w:val="-20"/>
                <w:sz w:val="24"/>
              </w:rPr>
              <w:t>日（周</w:t>
            </w:r>
            <w:r>
              <w:rPr>
                <w:rFonts w:hint="eastAsia" w:eastAsia="仿宋_GB2312"/>
                <w:spacing w:val="-20"/>
                <w:sz w:val="24"/>
              </w:rPr>
              <w:t>三</w:t>
            </w:r>
            <w:r>
              <w:rPr>
                <w:rFonts w:eastAsia="仿宋_GB2312"/>
                <w:spacing w:val="-20"/>
                <w:sz w:val="24"/>
              </w:rPr>
              <w:t>）</w:t>
            </w:r>
          </w:p>
          <w:p>
            <w:pPr>
              <w:spacing w:line="240" w:lineRule="atLeast"/>
              <w:ind w:left="480" w:hanging="480"/>
              <w:rPr>
                <w:rFonts w:eastAsia="仿宋_GB2312"/>
                <w:spacing w:val="-20"/>
                <w:sz w:val="24"/>
              </w:rPr>
            </w:pPr>
            <w:r>
              <w:rPr>
                <w:rFonts w:eastAsia="仿宋_GB2312"/>
                <w:spacing w:val="-20"/>
                <w:sz w:val="24"/>
              </w:rPr>
              <w:t>19：00－21：30</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仿宋_GB2312"/>
                <w:b/>
                <w:sz w:val="24"/>
              </w:rPr>
            </w:pPr>
            <w:r>
              <w:rPr>
                <w:rFonts w:eastAsia="仿宋_GB2312"/>
                <w:b/>
                <w:sz w:val="24"/>
              </w:rPr>
              <w:t>开班典礼</w:t>
            </w:r>
          </w:p>
          <w:p>
            <w:pPr>
              <w:spacing w:line="240" w:lineRule="atLeast"/>
              <w:rPr>
                <w:rFonts w:eastAsia="仿宋_GB2312"/>
                <w:b/>
                <w:sz w:val="24"/>
              </w:rPr>
            </w:pPr>
            <w:r>
              <w:rPr>
                <w:rFonts w:eastAsia="仿宋_GB2312"/>
                <w:b/>
                <w:sz w:val="24"/>
              </w:rPr>
              <w:t>专题报告：</w:t>
            </w:r>
            <w:r>
              <w:rPr>
                <w:rFonts w:eastAsia="仿宋_GB2312"/>
                <w:sz w:val="24"/>
              </w:rPr>
              <w:t>牢固树立党章意识，争取成为合格党员</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费　迅</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党校</w:t>
            </w:r>
          </w:p>
        </w:tc>
        <w:tc>
          <w:tcPr>
            <w:tcW w:w="1275" w:type="dxa"/>
            <w:vMerge w:val="restart"/>
            <w:vAlign w:val="center"/>
          </w:tcPr>
          <w:p>
            <w:pPr>
              <w:spacing w:line="240" w:lineRule="atLeast"/>
              <w:jc w:val="center"/>
              <w:rPr>
                <w:rFonts w:eastAsia="仿宋_GB2312"/>
                <w:sz w:val="24"/>
              </w:rPr>
            </w:pPr>
            <w:r>
              <w:rPr>
                <w:rFonts w:hint="eastAsia" w:eastAsia="仿宋_GB2312"/>
                <w:sz w:val="24"/>
              </w:rPr>
              <w:t>三楼报告厅(瘦西湖校区8号楼)</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951" w:type="dxa"/>
            <w:vMerge w:val="continue"/>
            <w:tcBorders>
              <w:bottom w:val="single" w:color="auto" w:sz="4" w:space="0"/>
            </w:tcBorders>
            <w:vAlign w:val="center"/>
          </w:tcPr>
          <w:p>
            <w:pPr>
              <w:spacing w:line="240" w:lineRule="atLeast"/>
              <w:ind w:left="480" w:hanging="480"/>
              <w:rPr>
                <w:rFonts w:eastAsia="仿宋_GB2312"/>
                <w:spacing w:val="-20"/>
                <w:sz w:val="24"/>
              </w:rPr>
            </w:pPr>
          </w:p>
        </w:tc>
        <w:tc>
          <w:tcPr>
            <w:tcW w:w="3402" w:type="dxa"/>
            <w:tcBorders>
              <w:top w:val="single" w:color="auto" w:sz="4" w:space="0"/>
              <w:bottom w:val="single" w:color="auto" w:sz="4" w:space="0"/>
              <w:right w:val="single" w:color="auto" w:sz="4" w:space="0"/>
            </w:tcBorders>
            <w:vAlign w:val="center"/>
          </w:tcPr>
          <w:p>
            <w:r>
              <w:rPr>
                <w:b/>
              </w:rPr>
              <w:t>专题报告：</w:t>
            </w:r>
            <w:r>
              <w:rPr>
                <w:rFonts w:eastAsia="仿宋_GB2312"/>
                <w:sz w:val="24"/>
              </w:rPr>
              <w:t>《关于新形势下党内政治生活的若干准则》解读</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林祖华</w:t>
            </w:r>
          </w:p>
        </w:tc>
        <w:tc>
          <w:tcPr>
            <w:tcW w:w="993" w:type="dxa"/>
            <w:tcBorders>
              <w:top w:val="single" w:color="auto" w:sz="4" w:space="0"/>
              <w:left w:val="single" w:color="auto" w:sz="4" w:space="0"/>
              <w:bottom w:val="single" w:color="auto" w:sz="4" w:space="0"/>
            </w:tcBorders>
            <w:vAlign w:val="center"/>
          </w:tcPr>
          <w:p>
            <w:pPr>
              <w:spacing w:line="240" w:lineRule="atLeast"/>
              <w:jc w:val="center"/>
              <w:rPr>
                <w:rFonts w:eastAsia="仿宋_GB2312"/>
                <w:sz w:val="24"/>
              </w:rPr>
            </w:pPr>
            <w:r>
              <w:rPr>
                <w:rFonts w:eastAsia="仿宋_GB2312"/>
                <w:sz w:val="24"/>
              </w:rPr>
              <w:t>党校</w:t>
            </w:r>
          </w:p>
        </w:tc>
        <w:tc>
          <w:tcPr>
            <w:tcW w:w="1275" w:type="dxa"/>
            <w:vMerge w:val="continue"/>
            <w:tcBorders>
              <w:bottom w:val="single" w:color="auto" w:sz="4" w:space="0"/>
            </w:tcBorders>
            <w:vAlign w:val="center"/>
          </w:tcPr>
          <w:p>
            <w:pPr>
              <w:spacing w:line="240" w:lineRule="atLeas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51" w:type="dxa"/>
            <w:vMerge w:val="restart"/>
            <w:tcBorders>
              <w:top w:val="single" w:color="auto" w:sz="4" w:space="0"/>
              <w:left w:val="single" w:color="auto" w:sz="4" w:space="0"/>
              <w:right w:val="single" w:color="auto" w:sz="4" w:space="0"/>
            </w:tcBorders>
            <w:vAlign w:val="center"/>
          </w:tcPr>
          <w:p>
            <w:pPr>
              <w:spacing w:line="240" w:lineRule="atLeast"/>
              <w:ind w:left="480" w:hanging="480"/>
              <w:rPr>
                <w:rFonts w:eastAsia="仿宋_GB2312"/>
                <w:spacing w:val="-20"/>
                <w:sz w:val="24"/>
              </w:rPr>
            </w:pPr>
            <w:r>
              <w:rPr>
                <w:rFonts w:hint="eastAsia" w:eastAsia="仿宋_GB2312"/>
                <w:spacing w:val="-20"/>
                <w:sz w:val="24"/>
              </w:rPr>
              <w:t>11</w:t>
            </w:r>
            <w:r>
              <w:rPr>
                <w:rFonts w:eastAsia="仿宋_GB2312"/>
                <w:spacing w:val="-20"/>
                <w:sz w:val="24"/>
              </w:rPr>
              <w:t>月</w:t>
            </w:r>
            <w:r>
              <w:rPr>
                <w:rFonts w:hint="eastAsia" w:eastAsia="仿宋_GB2312"/>
                <w:spacing w:val="-20"/>
                <w:sz w:val="24"/>
              </w:rPr>
              <w:t>16</w:t>
            </w:r>
            <w:r>
              <w:rPr>
                <w:rFonts w:eastAsia="仿宋_GB2312"/>
                <w:spacing w:val="-20"/>
                <w:sz w:val="24"/>
              </w:rPr>
              <w:t>日（周</w:t>
            </w:r>
            <w:r>
              <w:rPr>
                <w:rFonts w:hint="eastAsia" w:eastAsia="仿宋_GB2312"/>
                <w:spacing w:val="-20"/>
                <w:sz w:val="24"/>
              </w:rPr>
              <w:t>六</w:t>
            </w:r>
            <w:r>
              <w:rPr>
                <w:rFonts w:eastAsia="仿宋_GB2312"/>
                <w:spacing w:val="-20"/>
                <w:sz w:val="24"/>
              </w:rPr>
              <w:t>）</w:t>
            </w:r>
          </w:p>
          <w:p>
            <w:pPr>
              <w:spacing w:line="240" w:lineRule="atLeast"/>
              <w:ind w:left="480" w:hanging="480"/>
              <w:rPr>
                <w:rFonts w:eastAsia="仿宋_GB2312"/>
                <w:spacing w:val="-20"/>
                <w:sz w:val="24"/>
              </w:rPr>
            </w:pPr>
            <w:r>
              <w:rPr>
                <w:rFonts w:eastAsia="仿宋_GB2312"/>
                <w:spacing w:val="-20"/>
                <w:sz w:val="24"/>
              </w:rPr>
              <w:t>9：00－</w:t>
            </w:r>
            <w:r>
              <w:rPr>
                <w:rFonts w:hint="eastAsia" w:eastAsia="仿宋_GB2312"/>
                <w:spacing w:val="-20"/>
                <w:sz w:val="24"/>
              </w:rPr>
              <w:t>1</w:t>
            </w:r>
            <w:r>
              <w:rPr>
                <w:rFonts w:eastAsia="仿宋_GB2312"/>
                <w:spacing w:val="-20"/>
                <w:sz w:val="24"/>
              </w:rPr>
              <w:t>1：30</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仿宋_GB2312"/>
                <w:b/>
                <w:sz w:val="24"/>
              </w:rPr>
            </w:pPr>
            <w:r>
              <w:rPr>
                <w:rFonts w:eastAsia="仿宋_GB2312"/>
                <w:b/>
                <w:sz w:val="24"/>
              </w:rPr>
              <w:t>开班典礼</w:t>
            </w:r>
          </w:p>
          <w:p>
            <w:pPr>
              <w:spacing w:line="240" w:lineRule="atLeast"/>
              <w:rPr>
                <w:rFonts w:eastAsia="仿宋_GB2312"/>
                <w:b/>
                <w:sz w:val="24"/>
              </w:rPr>
            </w:pPr>
            <w:r>
              <w:rPr>
                <w:rFonts w:eastAsia="仿宋_GB2312"/>
                <w:b/>
                <w:sz w:val="24"/>
              </w:rPr>
              <w:t>专题报告：</w:t>
            </w:r>
            <w:r>
              <w:rPr>
                <w:rFonts w:eastAsia="仿宋_GB2312"/>
                <w:sz w:val="24"/>
              </w:rPr>
              <w:t>牢固树立党章意识，争取成为合格党员</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费　迅</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党校</w:t>
            </w:r>
          </w:p>
        </w:tc>
        <w:tc>
          <w:tcPr>
            <w:tcW w:w="1275" w:type="dxa"/>
            <w:vMerge w:val="restart"/>
            <w:tcBorders>
              <w:top w:val="single" w:color="auto" w:sz="4" w:space="0"/>
              <w:left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扬子津校区</w:t>
            </w:r>
            <w:r>
              <w:rPr>
                <w:rFonts w:hint="eastAsia" w:eastAsia="仿宋_GB2312"/>
                <w:sz w:val="24"/>
              </w:rPr>
              <w:t>文体馆剧场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1951" w:type="dxa"/>
            <w:vMerge w:val="continue"/>
            <w:tcBorders>
              <w:left w:val="single" w:color="auto" w:sz="4" w:space="0"/>
              <w:bottom w:val="single" w:color="auto" w:sz="4" w:space="0"/>
              <w:right w:val="single" w:color="auto" w:sz="4" w:space="0"/>
            </w:tcBorders>
            <w:vAlign w:val="center"/>
          </w:tcPr>
          <w:p>
            <w:pPr>
              <w:spacing w:line="240" w:lineRule="atLeast"/>
              <w:ind w:left="480" w:hanging="480"/>
              <w:jc w:val="center"/>
              <w:rPr>
                <w:rFonts w:eastAsia="仿宋_GB2312"/>
                <w:sz w:val="24"/>
              </w:rPr>
            </w:pPr>
          </w:p>
        </w:tc>
        <w:tc>
          <w:tcPr>
            <w:tcW w:w="3402" w:type="dxa"/>
            <w:tcBorders>
              <w:top w:val="single" w:color="auto" w:sz="4" w:space="0"/>
              <w:left w:val="single" w:color="auto" w:sz="4" w:space="0"/>
              <w:bottom w:val="single" w:color="auto" w:sz="4" w:space="0"/>
              <w:right w:val="single" w:color="auto" w:sz="4" w:space="0"/>
            </w:tcBorders>
            <w:vAlign w:val="center"/>
          </w:tcPr>
          <w:p>
            <w:r>
              <w:rPr>
                <w:b/>
              </w:rPr>
              <w:t>专题报告：</w:t>
            </w:r>
            <w:r>
              <w:rPr>
                <w:rFonts w:eastAsia="仿宋_GB2312"/>
                <w:sz w:val="24"/>
              </w:rPr>
              <w:t>《关于新形势下党内政治生活的若干准则》解读</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林祖华</w:t>
            </w:r>
          </w:p>
        </w:tc>
        <w:tc>
          <w:tcPr>
            <w:tcW w:w="9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党校</w:t>
            </w:r>
          </w:p>
        </w:tc>
        <w:tc>
          <w:tcPr>
            <w:tcW w:w="1275" w:type="dxa"/>
            <w:vMerge w:val="continue"/>
            <w:tcBorders>
              <w:left w:val="single" w:color="auto" w:sz="4" w:space="0"/>
              <w:bottom w:val="single" w:color="auto" w:sz="4" w:space="0"/>
              <w:right w:val="single" w:color="auto" w:sz="4" w:space="0"/>
            </w:tcBorders>
            <w:vAlign w:val="center"/>
          </w:tcPr>
          <w:p>
            <w:pPr>
              <w:spacing w:line="240" w:lineRule="atLeas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951" w:type="dxa"/>
            <w:vMerge w:val="restart"/>
            <w:tcBorders>
              <w:top w:val="single" w:color="auto" w:sz="4" w:space="0"/>
              <w:left w:val="single" w:color="auto" w:sz="4" w:space="0"/>
              <w:right w:val="single" w:color="auto" w:sz="4" w:space="0"/>
            </w:tcBorders>
            <w:vAlign w:val="center"/>
          </w:tcPr>
          <w:p>
            <w:pPr>
              <w:spacing w:line="240" w:lineRule="atLeast"/>
              <w:ind w:left="480" w:hanging="480"/>
              <w:jc w:val="center"/>
              <w:rPr>
                <w:rFonts w:eastAsia="仿宋_GB2312"/>
                <w:sz w:val="24"/>
              </w:rPr>
            </w:pPr>
            <w:r>
              <w:rPr>
                <w:rFonts w:hint="eastAsia" w:eastAsia="仿宋_GB2312"/>
                <w:sz w:val="24"/>
              </w:rPr>
              <w:t>11</w:t>
            </w:r>
            <w:r>
              <w:rPr>
                <w:rFonts w:eastAsia="仿宋_GB2312"/>
                <w:spacing w:val="-20"/>
                <w:sz w:val="24"/>
              </w:rPr>
              <w:t>月</w:t>
            </w:r>
            <w:r>
              <w:rPr>
                <w:rFonts w:hint="eastAsia" w:eastAsia="仿宋_GB2312"/>
                <w:spacing w:val="-20"/>
                <w:sz w:val="24"/>
              </w:rPr>
              <w:t>11</w:t>
            </w:r>
            <w:r>
              <w:rPr>
                <w:rFonts w:eastAsia="仿宋_GB2312"/>
                <w:spacing w:val="-20"/>
                <w:sz w:val="24"/>
              </w:rPr>
              <w:t>日－1</w:t>
            </w:r>
            <w:r>
              <w:rPr>
                <w:rFonts w:hint="eastAsia" w:eastAsia="仿宋_GB2312"/>
                <w:spacing w:val="-20"/>
                <w:sz w:val="24"/>
              </w:rPr>
              <w:t>7</w:t>
            </w:r>
            <w:r>
              <w:rPr>
                <w:rFonts w:eastAsia="仿宋_GB2312"/>
                <w:spacing w:val="-20"/>
                <w:sz w:val="24"/>
              </w:rPr>
              <w:t>日</w:t>
            </w:r>
          </w:p>
        </w:tc>
        <w:tc>
          <w:tcPr>
            <w:tcW w:w="5387"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　网络课程</w:t>
            </w:r>
          </w:p>
        </w:tc>
        <w:tc>
          <w:tcPr>
            <w:tcW w:w="1275" w:type="dxa"/>
            <w:vMerge w:val="restart"/>
            <w:tcBorders>
              <w:top w:val="single" w:color="auto" w:sz="4" w:space="0"/>
              <w:left w:val="single" w:color="auto" w:sz="4" w:space="0"/>
              <w:right w:val="single" w:color="auto" w:sz="4" w:space="0"/>
            </w:tcBorders>
            <w:vAlign w:val="center"/>
          </w:tcPr>
          <w:p>
            <w:pPr>
              <w:spacing w:line="240" w:lineRule="atLeast"/>
              <w:jc w:val="center"/>
              <w:rPr>
                <w:rFonts w:eastAsia="仿宋_GB2312"/>
                <w:sz w:val="24"/>
              </w:rPr>
            </w:pPr>
            <w:r>
              <w:rPr>
                <w:rFonts w:eastAsia="仿宋_GB2312"/>
                <w:sz w:val="24"/>
              </w:rPr>
              <w:t>各二级党组织自行安排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1951" w:type="dxa"/>
            <w:vMerge w:val="continue"/>
            <w:tcBorders>
              <w:left w:val="single" w:color="auto" w:sz="4" w:space="0"/>
              <w:right w:val="single" w:color="auto" w:sz="4" w:space="0"/>
            </w:tcBorders>
            <w:vAlign w:val="center"/>
          </w:tcPr>
          <w:p>
            <w:pPr>
              <w:spacing w:line="240" w:lineRule="atLeast"/>
              <w:ind w:left="480" w:hanging="480"/>
              <w:jc w:val="center"/>
              <w:rPr>
                <w:rFonts w:eastAsia="仿宋_GB2312"/>
                <w:sz w:val="24"/>
              </w:rPr>
            </w:pPr>
          </w:p>
        </w:tc>
        <w:tc>
          <w:tcPr>
            <w:tcW w:w="5387" w:type="dxa"/>
            <w:gridSpan w:val="3"/>
            <w:tcBorders>
              <w:top w:val="single" w:color="auto" w:sz="4" w:space="0"/>
              <w:left w:val="single" w:color="auto" w:sz="4" w:space="0"/>
              <w:right w:val="single" w:color="auto" w:sz="4" w:space="0"/>
            </w:tcBorders>
            <w:vAlign w:val="center"/>
          </w:tcPr>
          <w:p>
            <w:pPr>
              <w:spacing w:line="240" w:lineRule="atLeast"/>
              <w:jc w:val="left"/>
              <w:rPr>
                <w:rFonts w:eastAsia="仿宋_GB2312"/>
                <w:sz w:val="24"/>
              </w:rPr>
            </w:pPr>
            <w:r>
              <w:rPr>
                <w:rFonts w:hint="eastAsia" w:eastAsia="仿宋_GB2312"/>
                <w:sz w:val="24"/>
              </w:rPr>
              <w:t xml:space="preserve">我们正年轻（1）－(40)  </w:t>
            </w:r>
            <w:r>
              <w:rPr>
                <w:rFonts w:eastAsia="仿宋_GB2312"/>
                <w:sz w:val="24"/>
              </w:rPr>
              <w:t>（江苏先锋网）</w:t>
            </w:r>
          </w:p>
          <w:p>
            <w:pPr>
              <w:spacing w:line="240" w:lineRule="atLeast"/>
              <w:jc w:val="left"/>
              <w:rPr>
                <w:rFonts w:eastAsia="仿宋_GB2312"/>
                <w:sz w:val="24"/>
              </w:rPr>
            </w:pPr>
            <w:r>
              <w:t>http://www.jsxf.gov.cn/jsxfHDnew/spgb/dxgb/wmznq/</w:t>
            </w:r>
          </w:p>
        </w:tc>
        <w:tc>
          <w:tcPr>
            <w:tcW w:w="1275" w:type="dxa"/>
            <w:vMerge w:val="continue"/>
            <w:tcBorders>
              <w:left w:val="single" w:color="auto" w:sz="4" w:space="0"/>
              <w:right w:val="single" w:color="auto" w:sz="4" w:space="0"/>
            </w:tcBorders>
            <w:vAlign w:val="center"/>
          </w:tcPr>
          <w:p>
            <w:pPr>
              <w:spacing w:line="240" w:lineRule="atLeast"/>
              <w:jc w:val="center"/>
              <w:rPr>
                <w:rFonts w:eastAsia="仿宋_GB2312"/>
                <w:sz w:val="24"/>
              </w:rPr>
            </w:pPr>
          </w:p>
        </w:tc>
      </w:tr>
    </w:tbl>
    <w:p>
      <w:pPr>
        <w:spacing w:line="240" w:lineRule="atLeast"/>
        <w:rPr>
          <w:rFonts w:eastAsia="仿宋_GB2312"/>
          <w:b/>
          <w:color w:val="000000" w:themeColor="text1"/>
          <w:sz w:val="28"/>
          <w:szCs w:val="28"/>
          <w14:textFill>
            <w14:solidFill>
              <w14:schemeClr w14:val="tx1"/>
            </w14:solidFill>
          </w14:textFill>
        </w:rPr>
      </w:pPr>
    </w:p>
    <w:p>
      <w:pPr>
        <w:spacing w:line="240" w:lineRule="atLeast"/>
        <w:rPr>
          <w:rFonts w:eastAsia="仿宋_GB2312"/>
          <w:b/>
          <w:color w:val="000000" w:themeColor="text1"/>
          <w:sz w:val="28"/>
          <w:szCs w:val="28"/>
          <w14:textFill>
            <w14:solidFill>
              <w14:schemeClr w14:val="tx1"/>
            </w14:solidFill>
          </w14:textFill>
        </w:rPr>
      </w:pPr>
      <w:r>
        <w:rPr>
          <w:rFonts w:eastAsia="楷体_GB2312"/>
          <w:color w:val="000000" w:themeColor="text1"/>
          <w:sz w:val="24"/>
          <w14:textFill>
            <w14:solidFill>
              <w14:schemeClr w14:val="tx1"/>
            </w14:solidFill>
          </w14:textFill>
        </w:rPr>
        <w:t>注:</w:t>
      </w:r>
      <w:r>
        <w:rPr>
          <w:rFonts w:eastAsia="仿宋_GB2312"/>
          <w:color w:val="000000" w:themeColor="text1"/>
          <w:sz w:val="24"/>
          <w14:textFill>
            <w14:solidFill>
              <w14:schemeClr w14:val="tx1"/>
            </w14:solidFill>
          </w14:textFill>
        </w:rPr>
        <w:t xml:space="preserve"> 扬子津校区、瘦西湖校区各二级党组织党员发展对象在所在校区参加集中辅导，广陵学院在扬子津校区参加集中辅导，其余各二级党组织党员发展对象均在荷花池校区逸夫馆报告厅参加集中辅导。</w:t>
      </w:r>
    </w:p>
    <w:p>
      <w:pPr>
        <w:spacing w:line="240" w:lineRule="atLeast"/>
        <w:rPr>
          <w:rFonts w:eastAsia="仿宋_GB2312"/>
          <w:b/>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B6C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一叶编舟</cp:lastModifiedBy>
  <dcterms:modified xsi:type="dcterms:W3CDTF">2020-07-30T05:53:46Z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