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9"/>
        </w:tabs>
        <w:spacing w:line="540" w:lineRule="exact"/>
        <w:jc w:val="left"/>
        <w:rPr>
          <w:rFonts w:ascii="Times New Roman" w:hAnsi="Times New Roman" w:eastAsia="黑体" w:cs="仿宋"/>
          <w:color w:val="000000"/>
          <w:sz w:val="28"/>
          <w:szCs w:val="28"/>
          <w:highlight w:val="none"/>
        </w:rPr>
      </w:pP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附件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：</w:t>
      </w:r>
    </w:p>
    <w:p>
      <w:pPr>
        <w:tabs>
          <w:tab w:val="left" w:pos="3119"/>
        </w:tabs>
        <w:spacing w:line="540" w:lineRule="exact"/>
        <w:jc w:val="center"/>
        <w:rPr>
          <w:rFonts w:hint="eastAsia" w:ascii="Times New Roman" w:hAnsi="黑体" w:eastAsia="黑体" w:cs="仿宋"/>
          <w:b w:val="0"/>
          <w:bCs w:val="0"/>
          <w:color w:val="000000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  <w:lang w:val="en-US" w:eastAsia="zh-CN"/>
        </w:rPr>
        <w:t>盐城幼儿师范高等专科学校</w:t>
      </w:r>
      <w:r>
        <w:rPr>
          <w:rFonts w:hint="eastAsia" w:ascii="Times New Roman" w:hAnsi="黑体" w:eastAsia="黑体" w:cs="仿宋"/>
          <w:b w:val="0"/>
          <w:bCs w:val="0"/>
          <w:color w:val="000000"/>
          <w:w w:val="100"/>
          <w:kern w:val="2"/>
          <w:sz w:val="28"/>
          <w:szCs w:val="28"/>
          <w:highlight w:val="none"/>
          <w:lang w:val="en-US" w:eastAsia="zh-CN" w:bidi="ar-SA"/>
        </w:rPr>
        <w:t>健行网络学院</w:t>
      </w:r>
    </w:p>
    <w:p>
      <w:pPr>
        <w:tabs>
          <w:tab w:val="left" w:pos="3119"/>
        </w:tabs>
        <w:spacing w:line="540" w:lineRule="exact"/>
        <w:jc w:val="center"/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</w:pPr>
      <w:r>
        <w:rPr>
          <w:rFonts w:hint="eastAsia" w:ascii="Times New Roman" w:hAnsi="黑体" w:eastAsia="黑体" w:cs="仿宋"/>
          <w:b w:val="0"/>
          <w:bCs w:val="0"/>
          <w:color w:val="000000"/>
          <w:w w:val="100"/>
          <w:kern w:val="2"/>
          <w:sz w:val="28"/>
          <w:szCs w:val="28"/>
          <w:highlight w:val="none"/>
          <w:lang w:val="en-US" w:eastAsia="zh-CN" w:bidi="ar-SA"/>
        </w:rPr>
        <w:t>2020年度干部执行力提升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网络培训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  <w:lang w:val="en-US" w:eastAsia="zh-CN"/>
        </w:rPr>
        <w:t>必修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课表</w:t>
      </w:r>
    </w:p>
    <w:tbl>
      <w:tblPr>
        <w:tblStyle w:val="3"/>
        <w:tblW w:w="84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8"/>
        <w:gridCol w:w="859"/>
        <w:gridCol w:w="2905"/>
        <w:gridCol w:w="9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学习习近平总书记关于教育的重要论述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单位与职务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习近平总书记关于教育的重要论述及落实方略</w:t>
            </w:r>
          </w:p>
        </w:tc>
        <w:tc>
          <w:tcPr>
            <w:tcW w:w="85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王定华  </w:t>
            </w:r>
          </w:p>
        </w:tc>
        <w:tc>
          <w:tcPr>
            <w:tcW w:w="29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北京外国语大学党委书记  </w:t>
            </w:r>
          </w:p>
        </w:tc>
        <w:tc>
          <w:tcPr>
            <w:tcW w:w="95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深入学习领会习近平总书记关于教育的重要论述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邓传淮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教育部政策法规司司长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u w:val="none"/>
                <w:lang w:bidi="ar"/>
              </w:rPr>
              <w:t xml:space="preserve">1.4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陈子季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教育部教育发展研究中心主任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u w:val="none"/>
                <w:lang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加强“四史”学习 提升理论素养和党性修养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单位与职务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中国共产党的创立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  彦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中共中央党校（国家行政学院）中共党史教研部毛泽东思想教研室主任、教授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新中国的诞生与社会主义制度的确立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柳建辉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中共中央党校中共党史教研部主任、中国近现代史史料学会副会长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十一届三中全会与伟大历史转折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普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中共中央党校党史部副主任、教授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改革开放的展开与中国特色社会主义道路的开辟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普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中共中央党校党史部副主任、教授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中华人民共和国成立70周年光辉历程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  彦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中共中央党校（国家行政学院）中共党史教研部毛泽东思想教研室主任、教授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新中国70年发展与中国共产党的领导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斌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北京师范大学教授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改革开放四十年来四个历史阶段回顾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高尚全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中国经济体制改革研究会原名誉会长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中国改革40年若干深层理论思考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常修泽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中国宏观经济研究院教授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学习贯彻党的十九届四中全会精神 推进学校治理体系治理能力现代化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单位与职务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深入学习贯彻党的十九届四中全会精神，推进教育治理体系和治理能力现代化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力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教育部教育发展研究中心原主任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学习贯彻全国教育大会精神，推进教育体制机制改革，建设现代大学制度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刘自成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教育部综合改革司司长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近年高校教育典型案件对高校管理启示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耿宝建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最高人民法院第一巡回法庭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副庭长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行政权力应尽可能减少对教育的干预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储朝晖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中国教育科学研究院研究员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大学章程与大学治理现代化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周光礼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中国人民大学社会学部教育学院教授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完善机制，拓宽渠道，深入推进信息公开工作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白小萱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西安交通大学党委办公室、校长办公室主任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增强履职尽责意识 提高干部执行力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单位与职务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基层干部的沟通与执行力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刘平青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北京理工大学经管学院副院长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提升领导干部分析解决实际问题的能力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胡月星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中共中央党校（国家行政学院）党建部主任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领导干部执行力提升策略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宋世明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中共中央党校（国家行政学院）决策咨询部副主任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领导力与团队建设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刘旭涛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国家行政学院公共管理教研部副主任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2.6</w:t>
            </w:r>
          </w:p>
        </w:tc>
      </w:tr>
    </w:tbl>
    <w:p>
      <w:pPr>
        <w:tabs>
          <w:tab w:val="left" w:pos="3119"/>
        </w:tabs>
        <w:rPr>
          <w:rFonts w:ascii="Times New Roman" w:eastAsia="仿宋" w:cs="仿宋"/>
          <w:color w:val="000000"/>
          <w:szCs w:val="21"/>
          <w:highlight w:val="none"/>
        </w:rPr>
      </w:pPr>
      <w:r>
        <w:rPr>
          <w:rFonts w:ascii="Times New Roman" w:eastAsia="仿宋" w:cs="仿宋"/>
          <w:color w:val="000000"/>
          <w:szCs w:val="21"/>
          <w:highlight w:val="none"/>
        </w:rPr>
        <w:t>说明：</w:t>
      </w:r>
      <w:r>
        <w:rPr>
          <w:rFonts w:ascii="Times New Roman" w:hAnsi="Times New Roman" w:eastAsia="仿宋" w:cs="仿宋"/>
          <w:color w:val="000000"/>
          <w:szCs w:val="21"/>
          <w:highlight w:val="none"/>
        </w:rPr>
        <w:t>1.</w:t>
      </w:r>
      <w:r>
        <w:rPr>
          <w:rFonts w:ascii="Times New Roman" w:eastAsia="仿宋" w:cs="仿宋"/>
          <w:color w:val="000000"/>
          <w:szCs w:val="21"/>
          <w:highlight w:val="none"/>
        </w:rPr>
        <w:t>个别课程或稍有调整，请以平台最终发布课程为准；</w:t>
      </w:r>
    </w:p>
    <w:p>
      <w:pPr>
        <w:tabs>
          <w:tab w:val="left" w:pos="3119"/>
        </w:tabs>
        <w:ind w:firstLine="630" w:firstLineChars="300"/>
        <w:rPr>
          <w:rFonts w:ascii="Times New Roman" w:eastAsia="仿宋" w:cs="仿宋"/>
          <w:color w:val="000000"/>
          <w:szCs w:val="21"/>
          <w:highlight w:val="none"/>
        </w:rPr>
      </w:pPr>
      <w:r>
        <w:rPr>
          <w:rFonts w:ascii="Times New Roman" w:hAnsi="Times New Roman" w:eastAsia="仿宋" w:cs="仿宋"/>
          <w:color w:val="000000"/>
          <w:szCs w:val="21"/>
          <w:highlight w:val="none"/>
        </w:rPr>
        <w:t>2.</w:t>
      </w:r>
      <w:r>
        <w:rPr>
          <w:rFonts w:ascii="Times New Roman" w:eastAsia="仿宋" w:cs="仿宋"/>
          <w:color w:val="000000"/>
          <w:szCs w:val="21"/>
          <w:highlight w:val="none"/>
        </w:rPr>
        <w:t>课程主讲人职务为课程录制时的职务。</w:t>
      </w:r>
    </w:p>
    <w:p>
      <w:pPr>
        <w:tabs>
          <w:tab w:val="left" w:pos="3119"/>
        </w:tabs>
        <w:spacing w:line="540" w:lineRule="exact"/>
        <w:jc w:val="left"/>
        <w:rPr>
          <w:rFonts w:ascii="Times New Roman" w:hAnsi="Times New Roman" w:eastAsia="黑体" w:cs="仿宋"/>
          <w:color w:val="000000"/>
          <w:sz w:val="28"/>
          <w:szCs w:val="28"/>
          <w:highlight w:val="none"/>
        </w:rPr>
      </w:pPr>
      <w:r>
        <w:rPr>
          <w:rFonts w:hint="eastAsia" w:ascii="Times New Roman" w:hAnsi="Times New Roman" w:eastAsia="仿宋" w:cs="仿宋"/>
          <w:color w:val="000000"/>
          <w:sz w:val="30"/>
          <w:szCs w:val="30"/>
          <w:highlight w:val="none"/>
        </w:rPr>
        <w:br w:type="page"/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附件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：</w:t>
      </w:r>
    </w:p>
    <w:p>
      <w:pPr>
        <w:tabs>
          <w:tab w:val="left" w:pos="3119"/>
        </w:tabs>
        <w:spacing w:line="540" w:lineRule="exact"/>
        <w:jc w:val="center"/>
        <w:rPr>
          <w:rFonts w:hint="eastAsia" w:ascii="Times New Roman" w:hAnsi="黑体" w:eastAsia="黑体" w:cs="仿宋"/>
          <w:b w:val="0"/>
          <w:bCs w:val="0"/>
          <w:color w:val="000000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  <w:lang w:val="en-US" w:eastAsia="zh-CN"/>
        </w:rPr>
        <w:t>盐城幼儿师范高等专科学校</w:t>
      </w:r>
      <w:r>
        <w:rPr>
          <w:rFonts w:hint="eastAsia" w:ascii="Times New Roman" w:hAnsi="黑体" w:eastAsia="黑体" w:cs="仿宋"/>
          <w:b w:val="0"/>
          <w:bCs w:val="0"/>
          <w:color w:val="000000"/>
          <w:w w:val="100"/>
          <w:kern w:val="2"/>
          <w:sz w:val="28"/>
          <w:szCs w:val="28"/>
          <w:highlight w:val="none"/>
          <w:lang w:val="en-US" w:eastAsia="zh-CN" w:bidi="ar-SA"/>
        </w:rPr>
        <w:t>健行网络学院</w:t>
      </w:r>
    </w:p>
    <w:p>
      <w:pPr>
        <w:tabs>
          <w:tab w:val="left" w:pos="3119"/>
        </w:tabs>
        <w:spacing w:line="540" w:lineRule="exact"/>
        <w:jc w:val="center"/>
        <w:rPr>
          <w:rFonts w:hint="default" w:ascii="Times New Roman" w:hAnsi="黑体" w:eastAsia="黑体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黑体" w:eastAsia="黑体" w:cs="仿宋"/>
          <w:b w:val="0"/>
          <w:bCs w:val="0"/>
          <w:color w:val="000000"/>
          <w:w w:val="100"/>
          <w:kern w:val="2"/>
          <w:sz w:val="28"/>
          <w:szCs w:val="28"/>
          <w:highlight w:val="none"/>
          <w:lang w:val="en-US" w:eastAsia="zh-CN" w:bidi="ar-SA"/>
        </w:rPr>
        <w:t>2020年度干部执行力提升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网络培训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  <w:lang w:val="en-US" w:eastAsia="zh-CN"/>
        </w:rPr>
        <w:t>选修</w:t>
      </w:r>
      <w:r>
        <w:rPr>
          <w:rFonts w:hint="eastAsia" w:ascii="Times New Roman" w:hAnsi="黑体" w:eastAsia="黑体" w:cs="仿宋"/>
          <w:color w:val="000000"/>
          <w:sz w:val="28"/>
          <w:szCs w:val="28"/>
          <w:highlight w:val="none"/>
        </w:rPr>
        <w:t>课表</w:t>
      </w:r>
    </w:p>
    <w:tbl>
      <w:tblPr>
        <w:tblStyle w:val="3"/>
        <w:tblW w:w="90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0"/>
        <w:gridCol w:w="1073"/>
        <w:gridCol w:w="2872"/>
        <w:gridCol w:w="9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加强专业知识学习 提高岗位胜任力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单位与职务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职业院校教学管理优化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  涵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沈阳师范大学职业技术教育研究所所长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高职院校诊改工作的探索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杨卫军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咸阳职业技术学院院长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古田会议，确定党对一切工作的领导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祝  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中央党校（国家行政学院）党史教研部教授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突发事件应对策略与方法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游志斌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中共中央党校（国家行政学院）应急管理培训中心教授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《中国共产党问责条例》修订意义与若干重点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  进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中央党校（国家行政学院）教授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《高等学校财务制度》修订的背景和原则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霍步刚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财政部教科文司副司长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全面实施预算绩效管理，提高财政资源配置效率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鹏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中国财政科学研究院研究员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高校学生工作战略领导力提升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储祖旺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中国地质大学（武汉）党委常委、组织部部长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大学生自我管理与生涯发展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庄明科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北京大学学生心理健康教育与咨询中心副主任、职业发展教研室主任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加强思想政治教育，促进大学生就业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赵放辉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中国石油大学（华东）石油工程学院党委书记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新时代高校辅导员素质能力提升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李萌等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关于高校辅导员素质能力大赛的实践与思考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周延锋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福建师范大学法学院党委副书记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学习贯彻习总书记讲话精神 开创高校思想政治工作新局面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李铁铮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北京林业大学党委宣传部原部长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学习践行习近平新闻舆论工作重要论述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郑保卫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中国人民大学新闻学院教授、博士生导师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“互联网+”时代教育突发事件的信息发布与舆情应对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杨艳玲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国家教育行政学院社会科学教研部主任，副教授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青年工作与共青团工作改革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陆士桢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中国青年政治学院青年发展研究院名誉院长、教授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高校共青团“第二课堂成绩单”制度建设理论与实践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秦  涛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全国学校共青团研究中心副主任、副教授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共青团干部综合素质——高校团干部的时代坐标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刘世保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北京青年政治学院教授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《干部教育培训工作条例》解读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熊  云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中国浦东干部学院副院长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高校人事制度改革实践探索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王希勤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清华大学党委常委、副校长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创新发展视阈下高职优质校建设的若干思考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  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天津职业大学原校长、国家督学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干部教育培训新视野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李文长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国家教育行政学院原院长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深入学习领会习近平总书记关于宗教工作重要论述，扎实做好新时代的宗教工作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蒲长春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中共中央党校(国家行政学院)民族和宗教教研室副主任、教授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学习习近平总书记在中央统战工作会议上的重要讲话和《中国共产党统一战线工作条例（试行）》精神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峰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中央社会主义学院副院长、教授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开好民主生活会的总体要求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石国亮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首都师范大学马克思主义学院教授、博士生导师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新时代的宗教工作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沈桂萍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中央社会主义学院中华文化教研部民族与宗教教研室主任、教授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聚焦时事热点 提升干部治理能力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单位与职务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学习领会习近平总书记关于国家安全的重要论述 坚持总体国家安全观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刘跃进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国际关系学院公共管理系国家安全教研室主任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国际形势的不确定性与中美关系的前景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金灿荣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中国人民大学国际关系学院副院长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当前中国周边主要安全挑战分析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任晶晶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中国社会科学院当代中国研究所研究员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以十九大精神为指导 贯彻总体国家安全观 统筹富国强军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毅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国防大学战略研究所原所长、海军少将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当前金融风险形势分析与政府债务风险管理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鹏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中国财政科学研究院研究员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总体国家安全观与社会安全事件应对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游志斌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国家行政学院应急管理培训中心副教授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生物医药技术发展与人类健康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玲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中国人民解放军第四军医大学教授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全面解读《网络安全法》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孙佑海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最高人民法院研究室原副主任、天津大学法学院院长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运用法治思维和法治方式化解矛盾、维护稳定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马怀德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中国政法大学校长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树立宪法观念，推进依法治校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韩大元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中国人民大学法学院院长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民法典的时代精神与中国特色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轶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中国人民大学法学院党委书记、院长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高校学术治理的法治框架：《高等学校学术委员会规程》解读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王大泉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教育部政法司副司长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高校行政案件的理论与实践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耿宝建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最高人民法院第一巡回法庭副庭长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构建科学统一的依法治校制度体系，着力提升依法治校水平——华中师范大学依法治校的探索与实践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  敏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华中师范大学原党委书记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如何提升依法治理的能力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薛刚凌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中国政法大学法学院院长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领导干部如何坚持底线思维，着力防范化解重大风险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中共中央党校党建部教授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强化重大风险管理，提升教育治理能力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王保华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中国传媒大学高教传媒与舆情监测研究中心主任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课程思政：各类课程与思政课同向同行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  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上海科技大学纪委书记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课程思政工作对师德师风建设的促进作用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张黎声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上海中医药大学人体解剖学教授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“课程思政”教学设计与实施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李赛强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山东大学教学促进与教师发展中心副主任、教授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校-院治理体系改革的实践走势与未来方向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赵宏强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国家教育行政学院教授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上海财经大学商学院的治理结构与问题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  航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上海财经大学商学院常务副院长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创新内部治理模式 深化校院二级管理——浙江万里学院的思考与探索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  敏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浙江万里学院执行校长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深化高校内部治理结构改革，构建多元主体权益平衡的运行机制——四川理工学院二级学院运行机制的思考与实践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  斌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四川理工学院法学院院长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学习贯彻全国教育大会精神 加快推进教育现代化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杨银付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中国教育学会秘书处秘书长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新时代高校舆情管理与危机应对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李铁铮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北京林业大学党委宣传部原部长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如何标本兼治应对网络突发公共事件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王彩平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中央党校(国家行政学院)应急管理中心副教授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“互联网+”时代教育突发事件的信息发布与舆情应对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杨艳玲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国家教育行政学院社会科学教研部主任，副教授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“互联网+”背景下历史虚无主义的危害及应对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徐鹏堂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中共中央党史研究室宣教局网宣处处长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校园宗教传播与应对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左  鹏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北京科技大学马克思主义学院教授、博士生导师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年轻干部能力提升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单位与职务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习近平新时代中国特色社会主义思想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秦  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中共中央党校（国家行政学院）科学社会主义教研部主任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增强“四个意识” 维护党中央权威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李  拓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中共中央党校（国家行政学院）教授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信息化助力高校管理与服务方式变革——以华东师范大学为例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沈富可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华东师范大学信息化办公室主任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互联网时代调查研究的方法与技术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王卫东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中国人民大学中国调查与数据中心副主任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发掘传统文化资源，充实价值认知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王  蒙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中国当代作家、学者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压力管理与心理健康促进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樊富珉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清华大学社会科学学院心理学系副主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四步教你变身高富帅PPT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张  志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武汉工程大学大学生创新创业中心主任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面向对象的写作方法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邱利民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浙江大学竺可桢学院党委书记、常务副院长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办公室如何有效地上传下达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胡鸿杰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中国人民大学信息资源管理学院教授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公文办理的重点难点问题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高小平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中国行政管理学会执行副会长兼秘书长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述职报告的写作技巧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陈庆修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全国机关事务管理研究会副秘书长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</w:tbl>
    <w:p>
      <w:pPr>
        <w:tabs>
          <w:tab w:val="left" w:pos="3119"/>
        </w:tabs>
        <w:rPr>
          <w:rFonts w:ascii="Times New Roman" w:eastAsia="仿宋" w:cs="仿宋"/>
          <w:color w:val="000000"/>
          <w:szCs w:val="21"/>
          <w:highlight w:val="none"/>
        </w:rPr>
      </w:pPr>
      <w:r>
        <w:rPr>
          <w:rFonts w:ascii="Times New Roman" w:eastAsia="仿宋" w:cs="仿宋"/>
          <w:color w:val="000000"/>
          <w:szCs w:val="21"/>
          <w:highlight w:val="none"/>
        </w:rPr>
        <w:t>说明：</w:t>
      </w:r>
      <w:r>
        <w:rPr>
          <w:rFonts w:ascii="Times New Roman" w:hAnsi="Times New Roman" w:eastAsia="仿宋" w:cs="仿宋"/>
          <w:color w:val="000000"/>
          <w:szCs w:val="21"/>
          <w:highlight w:val="none"/>
        </w:rPr>
        <w:t>1.</w:t>
      </w:r>
      <w:r>
        <w:rPr>
          <w:rFonts w:ascii="Times New Roman" w:eastAsia="仿宋" w:cs="仿宋"/>
          <w:color w:val="000000"/>
          <w:szCs w:val="21"/>
          <w:highlight w:val="none"/>
        </w:rPr>
        <w:t>个别课程或稍有调整，请以平台最终发布课程为准；</w:t>
      </w:r>
    </w:p>
    <w:p>
      <w:pPr>
        <w:tabs>
          <w:tab w:val="left" w:pos="3119"/>
        </w:tabs>
        <w:ind w:firstLine="630" w:firstLineChars="300"/>
        <w:rPr>
          <w:rFonts w:ascii="Times New Roman" w:eastAsia="仿宋" w:cs="仿宋"/>
          <w:color w:val="000000"/>
          <w:szCs w:val="21"/>
          <w:highlight w:val="none"/>
        </w:rPr>
      </w:pPr>
      <w:r>
        <w:rPr>
          <w:rFonts w:ascii="Times New Roman" w:hAnsi="Times New Roman" w:eastAsia="仿宋" w:cs="仿宋"/>
          <w:color w:val="000000"/>
          <w:szCs w:val="21"/>
          <w:highlight w:val="none"/>
        </w:rPr>
        <w:t>2.</w:t>
      </w:r>
      <w:r>
        <w:rPr>
          <w:rFonts w:ascii="Times New Roman" w:eastAsia="仿宋" w:cs="仿宋"/>
          <w:color w:val="000000"/>
          <w:szCs w:val="21"/>
          <w:highlight w:val="none"/>
        </w:rPr>
        <w:t>课程主讲人职务为课程录制时的职务。</w:t>
      </w:r>
    </w:p>
    <w:p>
      <w:pPr>
        <w:tabs>
          <w:tab w:val="left" w:pos="3119"/>
        </w:tabs>
        <w:rPr>
          <w:rFonts w:hint="eastAsia" w:ascii="Times New Roman" w:hAnsi="Times New Roman" w:eastAsia="仿宋" w:cs="仿宋"/>
          <w:color w:val="000000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6E92"/>
    <w:rsid w:val="01CF0F69"/>
    <w:rsid w:val="1ABA3D29"/>
    <w:rsid w:val="1BBE53F3"/>
    <w:rsid w:val="3F084165"/>
    <w:rsid w:val="46D30081"/>
    <w:rsid w:val="590D534A"/>
    <w:rsid w:val="5EB26E92"/>
    <w:rsid w:val="67110EAD"/>
    <w:rsid w:val="6AD61937"/>
    <w:rsid w:val="719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2020-08-07T14:24:00Z</dcterms:created>
  <dc:creator>夏智</dc:creator>
  <cp:lastModifiedBy>夏智</cp:lastModifiedBy>
  <dcterms:modified xsi:type="dcterms:W3CDTF">2020-08-07T14:26:05Z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