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3119"/>
        </w:tabs>
        <w:spacing w:line="480" w:lineRule="exact"/>
        <w:ind w:left="6720" w:hanging="6720"/>
        <w:jc w:val="left"/>
        <w:rPr>
          <w:rFonts w:eastAsia="黑体" w:cs="Times New Roman"/>
          <w:sz w:val="32"/>
          <w:szCs w:val="32"/>
        </w:rPr>
      </w:pPr>
      <w:r>
        <w:rPr>
          <w:rFonts w:eastAsia="黑体" w:cs="Times New Roman"/>
          <w:sz w:val="32"/>
          <w:szCs w:val="32"/>
        </w:rPr>
        <w:t>附件1</w:t>
      </w:r>
    </w:p>
    <w:p>
      <w:pPr>
        <w:pStyle w:val="6"/>
        <w:tabs>
          <w:tab w:val="left" w:pos="3119"/>
        </w:tabs>
        <w:spacing w:line="480" w:lineRule="exact"/>
        <w:ind w:left="6720" w:hanging="6720"/>
        <w:jc w:val="center"/>
        <w:rPr>
          <w:rFonts w:eastAsia="方正小标宋简体" w:cs="Times New Roman"/>
          <w:sz w:val="32"/>
          <w:szCs w:val="32"/>
        </w:rPr>
      </w:pPr>
      <w:r>
        <w:rPr>
          <w:rFonts w:eastAsia="方正小标宋简体" w:cs="Times New Roman"/>
          <w:sz w:val="32"/>
          <w:szCs w:val="32"/>
        </w:rPr>
        <w:t>第三期高校基层党务工作者履职能力提升专题</w:t>
      </w:r>
    </w:p>
    <w:p>
      <w:pPr>
        <w:pStyle w:val="6"/>
        <w:tabs>
          <w:tab w:val="left" w:pos="3119"/>
        </w:tabs>
        <w:spacing w:line="480" w:lineRule="exact"/>
        <w:ind w:left="6720" w:hanging="6720"/>
        <w:jc w:val="center"/>
        <w:rPr>
          <w:rFonts w:eastAsia="方正小标宋简体" w:cs="Times New Roman"/>
          <w:caps/>
          <w:sz w:val="32"/>
          <w:szCs w:val="32"/>
        </w:rPr>
      </w:pPr>
      <w:r>
        <w:rPr>
          <w:rFonts w:eastAsia="方正小标宋简体" w:cs="Times New Roman"/>
          <w:sz w:val="32"/>
          <w:szCs w:val="32"/>
        </w:rPr>
        <w:t>网络培训课程表 </w:t>
      </w:r>
    </w:p>
    <w:tbl>
      <w:tblPr>
        <w:tblStyle w:val="4"/>
        <w:tblW w:w="5000" w:type="pct"/>
        <w:tblInd w:w="0"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77"/>
        <w:gridCol w:w="3441"/>
        <w:gridCol w:w="994"/>
        <w:gridCol w:w="2408"/>
        <w:gridCol w:w="902"/>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456" w:type="pct"/>
            <w:noWrap w:val="0"/>
            <w:vAlign w:val="center"/>
          </w:tcPr>
          <w:p>
            <w:pPr>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课程</w:t>
            </w:r>
          </w:p>
          <w:p>
            <w:pPr>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模块</w:t>
            </w:r>
          </w:p>
        </w:tc>
        <w:tc>
          <w:tcPr>
            <w:tcW w:w="2019" w:type="pct"/>
            <w:noWrap w:val="0"/>
            <w:vAlign w:val="center"/>
          </w:tcPr>
          <w:p>
            <w:pPr>
              <w:spacing w:after="100" w:afterAutospacing="1"/>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课程名称</w:t>
            </w:r>
          </w:p>
        </w:tc>
        <w:tc>
          <w:tcPr>
            <w:tcW w:w="583" w:type="pct"/>
            <w:noWrap w:val="0"/>
            <w:vAlign w:val="center"/>
          </w:tcPr>
          <w:p>
            <w:pPr>
              <w:spacing w:after="100" w:afterAutospacing="1"/>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主讲人</w:t>
            </w:r>
          </w:p>
        </w:tc>
        <w:tc>
          <w:tcPr>
            <w:tcW w:w="1413" w:type="pct"/>
            <w:noWrap w:val="0"/>
            <w:vAlign w:val="center"/>
          </w:tcPr>
          <w:p>
            <w:pPr>
              <w:spacing w:after="100" w:afterAutospacing="1"/>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职务职称</w:t>
            </w:r>
          </w:p>
        </w:tc>
        <w:tc>
          <w:tcPr>
            <w:tcW w:w="529" w:type="pct"/>
            <w:noWrap w:val="0"/>
            <w:vAlign w:val="center"/>
          </w:tcPr>
          <w:p>
            <w:pPr>
              <w:spacing w:after="100" w:afterAutospacing="1"/>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时长</w:t>
            </w:r>
            <w:r>
              <w:rPr>
                <w:rFonts w:hint="eastAsia" w:ascii="Times New Roman" w:hAnsi="Times New Roman" w:eastAsia="仿宋" w:cs="Times New Roman"/>
                <w:b/>
                <w:bCs/>
                <w:color w:val="000000"/>
                <w:sz w:val="18"/>
                <w:szCs w:val="18"/>
              </w:rPr>
              <w:t>（分钟）</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restart"/>
            <w:shd w:val="clear" w:color="auto" w:fill="auto"/>
            <w:noWrap w:val="0"/>
            <w:vAlign w:val="center"/>
          </w:tcPr>
          <w:p>
            <w:pPr>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学习政治理论</w:t>
            </w:r>
          </w:p>
          <w:p>
            <w:pPr>
              <w:jc w:val="center"/>
              <w:rPr>
                <w:rFonts w:ascii="Times New Roman" w:hAnsi="Times New Roman" w:eastAsia="仿宋" w:cs="Times New Roman"/>
                <w:b/>
                <w:bCs/>
                <w:color w:val="000000"/>
                <w:sz w:val="24"/>
                <w:szCs w:val="24"/>
              </w:rPr>
            </w:pPr>
          </w:p>
          <w:p>
            <w:pPr>
              <w:jc w:val="center"/>
              <w:rPr>
                <w:rFonts w:ascii="Times New Roman" w:hAnsi="Times New Roman" w:eastAsia="仿宋" w:cs="Times New Roman"/>
                <w:b/>
                <w:bCs/>
                <w:color w:val="000000"/>
                <w:sz w:val="24"/>
              </w:rPr>
            </w:pPr>
            <w:r>
              <w:rPr>
                <w:rFonts w:hint="eastAsia" w:ascii="Times New Roman" w:hAnsi="Times New Roman" w:eastAsia="仿宋" w:cs="Times New Roman"/>
                <w:b/>
                <w:bCs/>
                <w:color w:val="000000"/>
                <w:sz w:val="24"/>
              </w:rPr>
              <w:t>坚定政治立场</w:t>
            </w:r>
          </w:p>
        </w:tc>
        <w:tc>
          <w:tcPr>
            <w:tcW w:w="20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sz w:val="24"/>
                <w:szCs w:val="24"/>
              </w:rPr>
              <w:t>将“中国之治”推向更高境界——深入学习领会《习近平谈治国理政》第三卷</w:t>
            </w:r>
          </w:p>
        </w:tc>
        <w:tc>
          <w:tcPr>
            <w:tcW w:w="58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刘  春</w:t>
            </w:r>
          </w:p>
        </w:tc>
        <w:tc>
          <w:tcPr>
            <w:tcW w:w="1413" w:type="pct"/>
            <w:tcBorders>
              <w:top w:val="single" w:color="auto" w:sz="4" w:space="0"/>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115</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5"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深入领会科学理论体系——学习《习近平新时代中国特色社会主义思想三十讲》</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颜晓峰</w:t>
            </w:r>
          </w:p>
        </w:tc>
        <w:tc>
          <w:tcPr>
            <w:tcW w:w="1413" w:type="pct"/>
            <w:tcBorders>
              <w:top w:val="nil"/>
              <w:left w:val="nil"/>
              <w:bottom w:val="single" w:color="auto" w:sz="4" w:space="0"/>
              <w:right w:val="single" w:color="auto" w:sz="4" w:space="0"/>
            </w:tcBorders>
            <w:shd w:val="clear" w:color="000000" w:fill="FFFFFF"/>
            <w:noWrap w:val="0"/>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天津大学马克思主义学院院长、教授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104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73"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习近平总书记关于教育的重要论述及落实方略</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王定华</w:t>
            </w:r>
          </w:p>
        </w:tc>
        <w:tc>
          <w:tcPr>
            <w:tcW w:w="1413" w:type="pct"/>
            <w:tcBorders>
              <w:top w:val="nil"/>
              <w:left w:val="nil"/>
              <w:bottom w:val="single" w:color="auto" w:sz="4" w:space="0"/>
              <w:right w:val="single" w:color="auto" w:sz="4" w:space="0"/>
            </w:tcBorders>
            <w:shd w:val="clear" w:color="000000" w:fill="FFFFFF"/>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北京外国语大学党委书记、教授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87</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学习贯彻习近平总书记在学校思想政治理论课教师座谈会上重要讲话精神</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顾海良</w:t>
            </w:r>
          </w:p>
        </w:tc>
        <w:tc>
          <w:tcPr>
            <w:tcW w:w="1413" w:type="pct"/>
            <w:tcBorders>
              <w:top w:val="nil"/>
              <w:left w:val="nil"/>
              <w:bottom w:val="single" w:color="auto" w:sz="4" w:space="0"/>
              <w:right w:val="single" w:color="auto" w:sz="4" w:space="0"/>
            </w:tcBorders>
            <w:shd w:val="clear" w:color="000000" w:fill="FFFFFF"/>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全国人大教科文卫委员会委员</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习近平总书记2020年两会期间重要讲话精神解读</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石国亮</w:t>
            </w:r>
          </w:p>
        </w:tc>
        <w:tc>
          <w:tcPr>
            <w:tcW w:w="1413" w:type="pct"/>
            <w:tcBorders>
              <w:top w:val="nil"/>
              <w:left w:val="nil"/>
              <w:bottom w:val="single" w:color="auto" w:sz="4" w:space="0"/>
              <w:right w:val="single" w:color="auto" w:sz="4" w:space="0"/>
            </w:tcBorders>
            <w:shd w:val="clear" w:color="000000" w:fill="FFFFFF"/>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首都师范大学马克思主义学院教授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50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9"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民法典的时代精神与中国特色</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王  轶</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中国人民大学法学院党委书记、院长</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89</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9"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学习领会习近平总书记关于国家安全的重要论述 坚持总体国家安全观</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刘跃进</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国际关系学院公共管理系教授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94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9"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意识形态工作如何凝民心聚共识——习近平总书记关于意识形态工作重要讲话精神解读</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刘  春</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100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做习近平新时代中国特色社会主义思想的坚定信仰者、忠实实践者</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黄相怀</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中共中央党校（国家行政学院）国家高端智库学术委员会秘书长</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restart"/>
            <w:shd w:val="clear" w:color="auto" w:fill="auto"/>
            <w:noWrap w:val="0"/>
            <w:vAlign w:val="center"/>
          </w:tcPr>
          <w:p>
            <w:pPr>
              <w:spacing w:after="100" w:afterAutospacing="1"/>
              <w:jc w:val="center"/>
              <w:rPr>
                <w:rFonts w:ascii="Times New Roman" w:hAnsi="Times New Roman" w:eastAsia="仿宋" w:cs="Times New Roman"/>
                <w:b/>
                <w:bCs/>
                <w:color w:val="000000"/>
                <w:sz w:val="24"/>
                <w:szCs w:val="24"/>
              </w:rPr>
            </w:pPr>
            <w:r>
              <w:rPr>
                <w:rFonts w:hint="eastAsia" w:ascii="Times New Roman" w:hAnsi="Times New Roman" w:eastAsia="仿宋" w:cs="Times New Roman"/>
                <w:b/>
                <w:bCs/>
                <w:color w:val="000000"/>
                <w:sz w:val="24"/>
                <w:szCs w:val="24"/>
              </w:rPr>
              <w:t>坚定制度自信</w:t>
            </w:r>
          </w:p>
          <w:p>
            <w:pPr>
              <w:spacing w:after="100" w:afterAutospacing="1"/>
              <w:jc w:val="center"/>
              <w:rPr>
                <w:rFonts w:ascii="Times New Roman" w:hAnsi="Times New Roman" w:eastAsia="仿宋" w:cs="Times New Roman"/>
                <w:b/>
                <w:bCs/>
                <w:color w:val="000000"/>
                <w:sz w:val="24"/>
                <w:szCs w:val="24"/>
              </w:rPr>
            </w:pPr>
            <w:r>
              <w:rPr>
                <w:rFonts w:hint="eastAsia" w:ascii="Times New Roman" w:hAnsi="Times New Roman" w:eastAsia="仿宋" w:cs="Times New Roman"/>
                <w:b/>
                <w:bCs/>
                <w:color w:val="000000"/>
                <w:sz w:val="24"/>
                <w:szCs w:val="24"/>
              </w:rPr>
              <w:t>提高政治站位</w:t>
            </w: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 xml:space="preserve">开辟“中国之治”新境界——十九届四中全会总体精神解读 </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许耀桐</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100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深入学习贯彻党的十九届四中全会精神，推进教育治理体系和治理能力现代化</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张  力</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国家教育咨询委员会秘书长</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155</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发挥好“显著优势”，坚持和完善党的领导制度体系，提高党科学执政、民主执政、依法执政水平</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曹鹏飞</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85</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发挥好“显著优势”，坚持和完善共建共治共享的社会治理制度，保持社会稳定、维护国家安全</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丁元竹</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104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restart"/>
            <w:shd w:val="clear" w:color="auto" w:fill="auto"/>
            <w:noWrap w:val="0"/>
            <w:vAlign w:val="center"/>
          </w:tcPr>
          <w:p>
            <w:pPr>
              <w:spacing w:after="100" w:afterAutospacing="1"/>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学习党章党规</w:t>
            </w:r>
          </w:p>
          <w:p>
            <w:pPr>
              <w:spacing w:after="100" w:afterAutospacing="1"/>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规范行为作风</w:t>
            </w: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 xml:space="preserve">十九大党章解读系列微课 </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　</w:t>
            </w:r>
          </w:p>
        </w:tc>
        <w:tc>
          <w:tcPr>
            <w:tcW w:w="52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sz w:val="24"/>
                <w:szCs w:val="24"/>
              </w:rPr>
              <w:t>113</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《中国共产党支部工作条例（试行）》解读</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石国亮</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首都师范大学马克思主义学院教授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98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bottom w:val="single" w:color="auto" w:sz="6" w:space="0"/>
            </w:tcBorders>
            <w:shd w:val="clear" w:color="auto" w:fill="auto"/>
            <w:noWrap w:val="0"/>
            <w:vAlign w:val="center"/>
          </w:tcPr>
          <w:p>
            <w:pPr>
              <w:pStyle w:val="3"/>
              <w:shd w:val="clear" w:color="auto" w:fill="FCFCFC"/>
              <w:spacing w:before="0" w:beforeAutospacing="0" w:after="150" w:afterAutospacing="0"/>
              <w:jc w:val="both"/>
              <w:rPr>
                <w:rFonts w:ascii="Times New Roman" w:hAnsi="Times New Roman" w:eastAsia="仿宋" w:cs="Times New Roman"/>
                <w:bCs/>
                <w:color w:val="000000"/>
                <w:kern w:val="2"/>
              </w:rPr>
            </w:pPr>
            <w:r>
              <w:rPr>
                <w:rFonts w:ascii="Times New Roman" w:hAnsi="Times New Roman" w:eastAsia="仿宋" w:cs="Times New Roman"/>
                <w:bCs/>
                <w:color w:val="000000"/>
                <w:kern w:val="2"/>
              </w:rPr>
              <w:t>夯实基层党建最后一公里——《中国共产党党员教育管理工作条例》解读</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陈冬生</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126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Times New Roman" w:hAnsi="Times New Roman" w:eastAsia="仿宋" w:cs="Times New Roman"/>
                <w:color w:val="000000"/>
                <w:kern w:val="0"/>
                <w:sz w:val="24"/>
                <w:szCs w:val="24"/>
              </w:rPr>
            </w:pPr>
            <w:r>
              <w:rPr>
                <w:rFonts w:ascii="Times New Roman" w:hAnsi="Times New Roman" w:eastAsia="仿宋" w:cs="Times New Roman"/>
                <w:color w:val="000000"/>
                <w:sz w:val="24"/>
                <w:szCs w:val="24"/>
              </w:rPr>
              <w:t>《 严格执行选举制度规定，提高党内选举质量——《中国共产党基层组织选举工作条例》解读</w:t>
            </w:r>
          </w:p>
        </w:tc>
        <w:tc>
          <w:tcPr>
            <w:tcW w:w="58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吕冬冬</w:t>
            </w:r>
          </w:p>
        </w:tc>
        <w:tc>
          <w:tcPr>
            <w:tcW w:w="1413" w:type="pct"/>
            <w:tcBorders>
              <w:top w:val="single" w:color="auto" w:sz="4" w:space="0"/>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北京市顺义区委党校教授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126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bottom w:val="single" w:color="auto" w:sz="6" w:space="0"/>
            </w:tcBorders>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《党政领导干部选拔任用工作条例》（新修订）解读</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刘  春</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108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tcBorders>
              <w:bottom w:val="single" w:color="auto" w:sz="6" w:space="0"/>
            </w:tcBorders>
            <w:shd w:val="clear" w:color="auto" w:fill="auto"/>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《中国共产党重大事项请示报告条例》解读</w:t>
            </w:r>
          </w:p>
        </w:tc>
        <w:tc>
          <w:tcPr>
            <w:tcW w:w="583" w:type="pct"/>
            <w:shd w:val="clear" w:color="auto" w:fill="auto"/>
            <w:noWrap w:val="0"/>
            <w:vAlign w:val="center"/>
          </w:tcPr>
          <w:p>
            <w:pPr>
              <w:jc w:val="cente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陈凯龙</w:t>
            </w:r>
          </w:p>
        </w:tc>
        <w:tc>
          <w:tcPr>
            <w:tcW w:w="1413" w:type="pct"/>
            <w:shd w:val="clear" w:color="auto" w:fill="auto"/>
            <w:noWrap w:val="0"/>
            <w:vAlign w:val="center"/>
          </w:tcPr>
          <w:p>
            <w:pPr>
              <w:rPr>
                <w:rFonts w:hint="eastAsia"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77</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FFFFFF"/>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《中国共产党问责条例》修订意义与若干重点</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任  进</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111</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新版《中国共产党纪律处分条例》解读</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刘  春</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《中国共产党发展党员工作细则》解读</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孙  林</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w:t>
            </w:r>
            <w:r>
              <w:rPr>
                <w:rFonts w:ascii="Times New Roman" w:hAnsi="Times New Roman" w:eastAsia="仿宋" w:cs="Times New Roman"/>
                <w:bCs/>
                <w:color w:val="000000"/>
                <w:sz w:val="24"/>
                <w:szCs w:val="24"/>
              </w:rPr>
              <w:t>讲师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89</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restart"/>
            <w:shd w:val="clear" w:color="auto" w:fill="auto"/>
            <w:noWrap w:val="0"/>
            <w:vAlign w:val="center"/>
          </w:tcPr>
          <w:p>
            <w:pPr>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 xml:space="preserve">学习党史国史   </w:t>
            </w:r>
          </w:p>
          <w:p>
            <w:pPr>
              <w:jc w:val="center"/>
              <w:rPr>
                <w:rFonts w:ascii="Times New Roman" w:hAnsi="Times New Roman" w:eastAsia="仿宋" w:cs="Times New Roman"/>
                <w:b/>
                <w:color w:val="000000"/>
                <w:sz w:val="24"/>
                <w:szCs w:val="24"/>
              </w:rPr>
            </w:pPr>
          </w:p>
          <w:p>
            <w:pPr>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弘扬爱国精神</w:t>
            </w:r>
          </w:p>
        </w:tc>
        <w:tc>
          <w:tcPr>
            <w:tcW w:w="2019" w:type="pct"/>
            <w:shd w:val="clear" w:color="auto" w:fill="auto"/>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古田会议，确定党对一切工作的领导</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祝  彦</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sz w:val="24"/>
                <w:szCs w:val="24"/>
              </w:rPr>
              <w:t>86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“红船精神”：新长征路上的精神底蕴</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戴立兴</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中国社会科学院马克思主义研究院研究员</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92</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历史记忆中的长征</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纪录片</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　</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57</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7"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中国共产党与新中国70年</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肖贵清</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清华大学马克思主义学院副院长、教授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79</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22"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中华人民共和国成立70周年光辉历程</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祝  彦</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7"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改革开放的展开与中国特色社会主义道路的开辟</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曹　普</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52</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《新时代爱国主义教育实施纲要》解读</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黄  亮</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中央团校副教授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87</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牢记“两个务必”，弘扬优良传统</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李松林</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首都师范大学马克思主义学院原院长、教授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91</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spacing w:after="100" w:afterAutospacing="1"/>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“两弹一星”的辉煌成就与伟大精神</w:t>
            </w:r>
          </w:p>
        </w:tc>
        <w:tc>
          <w:tcPr>
            <w:tcW w:w="583" w:type="pct"/>
            <w:shd w:val="clear" w:color="auto" w:fill="auto"/>
            <w:noWrap w:val="0"/>
            <w:vAlign w:val="center"/>
          </w:tcPr>
          <w:p>
            <w:pPr>
              <w:jc w:val="cente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王兆宇</w:t>
            </w:r>
          </w:p>
        </w:tc>
        <w:tc>
          <w:tcPr>
            <w:tcW w:w="1413" w:type="pct"/>
            <w:shd w:val="clear" w:color="auto" w:fill="auto"/>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中国酒泉卫星发射中心原党委书记</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69</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restart"/>
            <w:shd w:val="clear" w:color="auto" w:fill="auto"/>
            <w:noWrap w:val="0"/>
            <w:vAlign w:val="center"/>
          </w:tcPr>
          <w:p>
            <w:pPr>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立足党建实务</w:t>
            </w:r>
          </w:p>
          <w:p>
            <w:pPr>
              <w:jc w:val="center"/>
              <w:rPr>
                <w:rFonts w:ascii="Times New Roman" w:hAnsi="Times New Roman" w:eastAsia="仿宋" w:cs="Times New Roman"/>
                <w:b/>
                <w:bCs/>
                <w:color w:val="000000"/>
                <w:sz w:val="24"/>
                <w:szCs w:val="24"/>
              </w:rPr>
            </w:pPr>
          </w:p>
          <w:p>
            <w:pPr>
              <w:jc w:val="center"/>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提升履职能力</w:t>
            </w: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如何全面增强基层党组织的政治功能和组织力</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杨云成</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北京市委党校党史党建教研部副主任</w:t>
            </w:r>
          </w:p>
        </w:tc>
        <w:tc>
          <w:tcPr>
            <w:tcW w:w="52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sz w:val="24"/>
                <w:szCs w:val="24"/>
              </w:rPr>
              <w:t>60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新时代高校基层党建工作的特点和要求</w:t>
            </w:r>
          </w:p>
        </w:tc>
        <w:tc>
          <w:tcPr>
            <w:tcW w:w="583" w:type="pct"/>
            <w:shd w:val="clear" w:color="auto" w:fill="auto"/>
            <w:noWrap w:val="0"/>
            <w:vAlign w:val="center"/>
          </w:tcPr>
          <w:p>
            <w:pPr>
              <w:jc w:val="cente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郑  萼</w:t>
            </w:r>
          </w:p>
        </w:tc>
        <w:tc>
          <w:tcPr>
            <w:tcW w:w="1413" w:type="pct"/>
            <w:shd w:val="clear" w:color="auto" w:fill="auto"/>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首都师范大学党委书记</w:t>
            </w:r>
          </w:p>
        </w:tc>
        <w:tc>
          <w:tcPr>
            <w:tcW w:w="52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84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大数据时代基层智慧党建的实践探索</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龚  云</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中国社会科学院习近平新时代中国特色社会主义思想研究中心执行副主任</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86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新时代党支部工作的八大基本任务</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曹鹏飞</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color w:val="000000"/>
                <w:sz w:val="24"/>
                <w:szCs w:val="24"/>
              </w:rPr>
              <w:t>中共中央党校（国家行政学院）教授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61</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如何当好基层党支部书记</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李  伟</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中国青年政治学院马克思主义学院院长、教授</w:t>
            </w:r>
          </w:p>
        </w:tc>
        <w:tc>
          <w:tcPr>
            <w:tcW w:w="529" w:type="pc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80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如何做好高校基层组织员工作</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乔婧芳</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浙江工业大学化学工程学院党委委员、组织员、精细化工党支部书记</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76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56" w:type="pct"/>
            <w:vMerge w:val="continue"/>
            <w:shd w:val="clear" w:color="auto" w:fill="auto"/>
            <w:noWrap w:val="0"/>
            <w:vAlign w:val="center"/>
          </w:tcPr>
          <w:p>
            <w:pPr>
              <w:jc w:val="center"/>
              <w:rPr>
                <w:rFonts w:ascii="Times New Roman" w:hAnsi="Times New Roman" w:eastAsia="仿宋" w:cs="Times New Roman"/>
                <w:b/>
                <w:bCs/>
                <w:color w:val="000000"/>
                <w:sz w:val="24"/>
                <w:szCs w:val="24"/>
              </w:rPr>
            </w:pPr>
          </w:p>
        </w:tc>
        <w:tc>
          <w:tcPr>
            <w:tcW w:w="2019"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新形势下如何加强党员教育管理</w:t>
            </w:r>
          </w:p>
        </w:tc>
        <w:tc>
          <w:tcPr>
            <w:tcW w:w="583" w:type="pct"/>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路克利</w:t>
            </w:r>
          </w:p>
        </w:tc>
        <w:tc>
          <w:tcPr>
            <w:tcW w:w="1413" w:type="pct"/>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中国人民大学习近平新时代中国特色社会主义思想研究院研究员</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97</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党支部工作实务系列微课</w:t>
            </w:r>
          </w:p>
        </w:tc>
        <w:tc>
          <w:tcPr>
            <w:tcW w:w="58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bottom w:val="single" w:color="auto" w:sz="6" w:space="0"/>
            </w:tcBorders>
            <w:shd w:val="clear" w:color="auto" w:fill="auto"/>
            <w:noWrap w:val="0"/>
            <w:vAlign w:val="center"/>
          </w:tcPr>
          <w:p>
            <w:pPr>
              <w:widowControl/>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“三会一课”教学片</w:t>
            </w:r>
          </w:p>
        </w:tc>
        <w:tc>
          <w:tcPr>
            <w:tcW w:w="583" w:type="pct"/>
            <w:shd w:val="clear" w:color="auto" w:fill="auto"/>
            <w:noWrap w:val="0"/>
            <w:vAlign w:val="center"/>
          </w:tcPr>
          <w:p>
            <w:pPr>
              <w:widowControl/>
              <w:jc w:val="center"/>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widowControl/>
              <w:textAlignment w:val="center"/>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29</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shd w:val="clear" w:color="auto" w:fill="FFFFFF"/>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党费收缴工作</w:t>
            </w:r>
          </w:p>
        </w:tc>
        <w:tc>
          <w:tcPr>
            <w:tcW w:w="583" w:type="pct"/>
            <w:shd w:val="clear" w:color="auto" w:fill="auto"/>
            <w:noWrap w:val="0"/>
            <w:vAlign w:val="center"/>
          </w:tcPr>
          <w:p>
            <w:pPr>
              <w:widowControl/>
              <w:jc w:val="center"/>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widowControl/>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shd w:val="clear" w:color="auto" w:fill="FFFFFF"/>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党课教育的主要内容和基本要求</w:t>
            </w:r>
          </w:p>
        </w:tc>
        <w:tc>
          <w:tcPr>
            <w:tcW w:w="583" w:type="pct"/>
            <w:shd w:val="clear" w:color="auto" w:fill="auto"/>
            <w:noWrap w:val="0"/>
            <w:vAlign w:val="center"/>
          </w:tcPr>
          <w:p>
            <w:pPr>
              <w:widowControl/>
              <w:jc w:val="center"/>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widowControl/>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shd w:val="clear" w:color="auto" w:fill="FFFFFF"/>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党小组会的主要内容和程序</w:t>
            </w:r>
          </w:p>
        </w:tc>
        <w:tc>
          <w:tcPr>
            <w:tcW w:w="583" w:type="pct"/>
            <w:shd w:val="clear" w:color="auto" w:fill="auto"/>
            <w:noWrap w:val="0"/>
            <w:vAlign w:val="center"/>
          </w:tcPr>
          <w:p>
            <w:pPr>
              <w:widowControl/>
              <w:jc w:val="center"/>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widowControl/>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shd w:val="clear" w:color="auto" w:fill="FFFFFF"/>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党支部发展党员工作主要程序</w:t>
            </w:r>
          </w:p>
        </w:tc>
        <w:tc>
          <w:tcPr>
            <w:tcW w:w="583" w:type="pct"/>
            <w:shd w:val="clear" w:color="auto" w:fill="auto"/>
            <w:noWrap w:val="0"/>
            <w:vAlign w:val="center"/>
          </w:tcPr>
          <w:p>
            <w:pPr>
              <w:widowControl/>
              <w:jc w:val="center"/>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widowControl/>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shd w:val="clear" w:color="auto" w:fill="FFFFFF"/>
            <w:noWrap w:val="0"/>
            <w:vAlign w:val="center"/>
          </w:tcPr>
          <w:p>
            <w:pPr>
              <w:widowControl/>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党支部开展民主评议党员工作主要程序</w:t>
            </w:r>
          </w:p>
        </w:tc>
        <w:tc>
          <w:tcPr>
            <w:tcW w:w="583" w:type="pct"/>
            <w:shd w:val="clear" w:color="auto" w:fill="auto"/>
            <w:noWrap w:val="0"/>
            <w:vAlign w:val="center"/>
          </w:tcPr>
          <w:p>
            <w:pPr>
              <w:widowControl/>
              <w:jc w:val="center"/>
              <w:textAlignment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微  课</w:t>
            </w:r>
          </w:p>
        </w:tc>
        <w:tc>
          <w:tcPr>
            <w:tcW w:w="1413" w:type="pct"/>
            <w:shd w:val="clear" w:color="auto" w:fill="auto"/>
            <w:noWrap w:val="0"/>
            <w:vAlign w:val="center"/>
          </w:tcPr>
          <w:p>
            <w:pPr>
              <w:widowControl/>
              <w:rPr>
                <w:rFonts w:ascii="Times New Roman" w:hAnsi="Times New Roman" w:eastAsia="仿宋" w:cs="Times New Roman"/>
                <w:bCs/>
                <w:color w:val="000000"/>
                <w:sz w:val="24"/>
                <w:szCs w:val="24"/>
              </w:rPr>
            </w:pP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restart"/>
            <w:shd w:val="clear" w:color="auto" w:fill="auto"/>
            <w:noWrap w:val="0"/>
            <w:vAlign w:val="center"/>
          </w:tcPr>
          <w:p>
            <w:pPr>
              <w:spacing w:after="100" w:afterAutospacing="1"/>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聚焦典型案例</w:t>
            </w:r>
          </w:p>
          <w:p>
            <w:pPr>
              <w:spacing w:after="100" w:afterAutospacing="1"/>
              <w:jc w:val="center"/>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拓展工作思路</w:t>
            </w:r>
          </w:p>
        </w:tc>
        <w:tc>
          <w:tcPr>
            <w:tcW w:w="2019" w:type="pct"/>
            <w:shd w:val="clear" w:color="auto" w:fill="FFFFFF"/>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新时代高校院系党组织书记的责任与担当</w:t>
            </w:r>
          </w:p>
        </w:tc>
        <w:tc>
          <w:tcPr>
            <w:tcW w:w="583" w:type="pct"/>
            <w:shd w:val="clear" w:color="auto" w:fill="auto"/>
            <w:noWrap w:val="0"/>
            <w:vAlign w:val="center"/>
          </w:tcPr>
          <w:p>
            <w:pPr>
              <w:jc w:val="cente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郑  萼</w:t>
            </w:r>
          </w:p>
        </w:tc>
        <w:tc>
          <w:tcPr>
            <w:tcW w:w="1413" w:type="pct"/>
            <w:shd w:val="clear" w:color="auto" w:fill="auto"/>
            <w:noWrap w:val="0"/>
            <w:vAlign w:val="center"/>
          </w:tcPr>
          <w:p>
            <w:pPr>
              <w:rPr>
                <w:rFonts w:hint="eastAsia"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首都师范大学党委书记、教授</w:t>
            </w:r>
          </w:p>
        </w:tc>
        <w:tc>
          <w:tcPr>
            <w:tcW w:w="529"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bCs/>
                <w:color w:val="000000"/>
                <w:sz w:val="24"/>
                <w:szCs w:val="24"/>
              </w:rPr>
            </w:pPr>
            <w:r>
              <w:rPr>
                <w:rFonts w:hint="eastAsia" w:ascii="Times New Roman" w:hAnsi="Times New Roman" w:eastAsia="仿宋" w:cs="Times New Roman"/>
                <w:bCs/>
                <w:color w:val="000000"/>
                <w:sz w:val="24"/>
                <w:szCs w:val="24"/>
              </w:rPr>
              <w:t>82</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以高质量党建引领和推动学院事业发展——全国党建工作标杆院系创建的思考与探索</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黄  菊</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中国地质大学(武汉)材料与化学学院党委书记</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40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b/>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院系党建工作的探索和实践——以中国石油大学（华东）石油工程学院为例</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赵放辉</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中国石油大学（华东）石油工程学院党委书记、教授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b/>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抓党的建设 推动二级学院综合改革</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王海龙</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天津大学精密仪器与光电子工程学院党委书记</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70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b/>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新时代高校党支部书记履职的素质要求</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刘树宏</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中央民族大学马克思主义学院教授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55</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b/>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旗帜引领守初心，实验教学以育人——关于加强高校基层党支部建设的思考  </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徐庆红</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北京化工大学教授</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62</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“互融共促”做一名合格的基层教师党支部书记</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徐  林</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东北大学信息科学与工程学院自动化研究所支部书记</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32</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写好新时代教师党支部建设的奋进之笔</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姜晓东</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华东师范大学生命科学学院生物学系教工党支部书记</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63</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如何做好学生党支部书记工作</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乔婧芳</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浙江工业大学化学工程学院党委委员、组织员、精细化工党支部书记</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36</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000000" w:fill="FFFFFF"/>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夯实实践锻炼，强化实践引领——高校基层学生党支部建设的探索与思考</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冯永龙</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北京建筑大学测绘与城市空间信息学院党委副书记</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65</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围绕“六个加强”，打造“六型堡垒”，以“七个有力”促学生成长成才</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黄小钊</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广西省南宁职业技术学院智能制造学院学生党支部书记</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38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构建“党建+”工作模式 全面推进一流人才培养工作</w:t>
            </w:r>
          </w:p>
        </w:tc>
        <w:tc>
          <w:tcPr>
            <w:tcW w:w="583" w:type="pct"/>
            <w:tcBorders>
              <w:top w:val="nil"/>
              <w:left w:val="nil"/>
              <w:bottom w:val="single" w:color="auto" w:sz="4" w:space="0"/>
              <w:right w:val="single" w:color="auto" w:sz="4" w:space="0"/>
            </w:tcBorders>
            <w:shd w:val="clear" w:color="auto" w:fill="auto"/>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田力娜等</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上海外国语大学德语系党总支副书记</w:t>
            </w:r>
          </w:p>
        </w:tc>
        <w:tc>
          <w:tcPr>
            <w:tcW w:w="529" w:type="pct"/>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58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restart"/>
            <w:shd w:val="clear" w:color="auto" w:fill="auto"/>
            <w:noWrap w:val="0"/>
            <w:vAlign w:val="center"/>
          </w:tcPr>
          <w:p>
            <w:pPr>
              <w:spacing w:after="100" w:afterAutospacing="1"/>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 xml:space="preserve">丰富知识素养    </w:t>
            </w:r>
          </w:p>
          <w:p>
            <w:pPr>
              <w:spacing w:after="100" w:afterAutospacing="1"/>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提高处事能力</w:t>
            </w: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建设具有强大凝聚力和引领力的社会主义意识形态</w:t>
            </w:r>
          </w:p>
        </w:tc>
        <w:tc>
          <w:tcPr>
            <w:tcW w:w="583"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寇清杰</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南开大学马克思主义学院教授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103</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新时代高校舆情管理与危机应对</w:t>
            </w:r>
          </w:p>
        </w:tc>
        <w:tc>
          <w:tcPr>
            <w:tcW w:w="583"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李铁铮</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北京林业大学教授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74</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心理疏导与情绪管理——工作中的自控力 </w:t>
            </w:r>
          </w:p>
        </w:tc>
        <w:tc>
          <w:tcPr>
            <w:tcW w:w="583"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姚  翔</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北京大学心理与认知科学学院副教授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111</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人际关系的建立与调适</w:t>
            </w:r>
          </w:p>
        </w:tc>
        <w:tc>
          <w:tcPr>
            <w:tcW w:w="583"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樊富珉</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清华大学社会科学学院心理学系副主任、教授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50</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沟通艺术</w:t>
            </w:r>
          </w:p>
        </w:tc>
        <w:tc>
          <w:tcPr>
            <w:tcW w:w="583" w:type="pct"/>
            <w:tcBorders>
              <w:top w:val="nil"/>
              <w:left w:val="nil"/>
              <w:bottom w:val="single" w:color="auto" w:sz="4" w:space="0"/>
              <w:right w:val="single" w:color="auto" w:sz="4" w:space="0"/>
            </w:tcBorders>
            <w:shd w:val="clear" w:color="000000" w:fill="FFFFFF"/>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姚小玲</w:t>
            </w:r>
          </w:p>
        </w:tc>
        <w:tc>
          <w:tcPr>
            <w:tcW w:w="1413" w:type="pct"/>
            <w:tcBorders>
              <w:top w:val="nil"/>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北京航空航天大学教授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83</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文件撰制与处理</w:t>
            </w:r>
          </w:p>
        </w:tc>
        <w:tc>
          <w:tcPr>
            <w:tcW w:w="583"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胡鸿杰</w:t>
            </w:r>
          </w:p>
        </w:tc>
        <w:tc>
          <w:tcPr>
            <w:tcW w:w="1413" w:type="pct"/>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中国人民大学信息资源管理学院教授</w:t>
            </w:r>
          </w:p>
        </w:tc>
        <w:tc>
          <w:tcPr>
            <w:tcW w:w="529" w:type="pct"/>
            <w:tcBorders>
              <w:top w:val="nil"/>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108</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56" w:type="pct"/>
            <w:vMerge w:val="continue"/>
            <w:shd w:val="clear" w:color="auto" w:fill="auto"/>
            <w:noWrap w:val="0"/>
            <w:vAlign w:val="center"/>
          </w:tcPr>
          <w:p>
            <w:pPr>
              <w:spacing w:after="100" w:afterAutospacing="1"/>
              <w:jc w:val="center"/>
              <w:rPr>
                <w:rFonts w:ascii="Times New Roman" w:hAnsi="Times New Roman" w:eastAsia="仿宋" w:cs="Times New Roman"/>
                <w:color w:val="000000"/>
                <w:sz w:val="24"/>
                <w:szCs w:val="24"/>
              </w:rPr>
            </w:pPr>
          </w:p>
        </w:tc>
        <w:tc>
          <w:tcPr>
            <w:tcW w:w="201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科研论文的撰写与创新</w:t>
            </w:r>
          </w:p>
        </w:tc>
        <w:tc>
          <w:tcPr>
            <w:tcW w:w="583" w:type="pct"/>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褚福磊</w:t>
            </w:r>
          </w:p>
        </w:tc>
        <w:tc>
          <w:tcPr>
            <w:tcW w:w="1413" w:type="pct"/>
            <w:tcBorders>
              <w:top w:val="single" w:color="auto" w:sz="4" w:space="0"/>
              <w:left w:val="nil"/>
              <w:bottom w:val="single" w:color="auto" w:sz="4" w:space="0"/>
              <w:right w:val="single" w:color="auto" w:sz="4" w:space="0"/>
            </w:tcBorders>
            <w:shd w:val="clear" w:color="auto" w:fill="auto"/>
            <w:noWrap w:val="0"/>
            <w:vAlign w:val="center"/>
          </w:tcPr>
          <w:p>
            <w:pP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清华大学机械工程学院教授</w:t>
            </w:r>
          </w:p>
        </w:tc>
        <w:tc>
          <w:tcPr>
            <w:tcW w:w="529" w:type="pct"/>
            <w:tcBorders>
              <w:top w:val="single" w:color="auto" w:sz="4" w:space="0"/>
              <w:left w:val="nil"/>
              <w:bottom w:val="single" w:color="auto" w:sz="4" w:space="0"/>
              <w:right w:val="single" w:color="auto" w:sz="4" w:space="0"/>
            </w:tcBorders>
            <w:shd w:val="clear" w:color="000000" w:fill="FFFFFF"/>
            <w:noWrap w:val="0"/>
            <w:vAlign w:val="center"/>
          </w:tcPr>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95</w:t>
            </w:r>
          </w:p>
        </w:tc>
      </w:tr>
    </w:tbl>
    <w:p>
      <w:pPr>
        <w:spacing w:line="360" w:lineRule="exact"/>
        <w:ind w:leftChars="-135" w:hanging="283" w:hangingChars="118"/>
        <w:jc w:val="lef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说明：1.个别课程或稍有调整，请以平台最终发布课程为准；</w:t>
      </w:r>
    </w:p>
    <w:p>
      <w:pPr>
        <w:widowControl/>
        <w:spacing w:before="156" w:beforeLines="50" w:line="360" w:lineRule="auto"/>
        <w:ind w:firstLine="480" w:firstLineChars="200"/>
        <w:jc w:val="lef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2.课程主讲人职务为课程录制时的职务。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73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2020-09-09T02:07:09Z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