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ind w:left="-2" w:leftChars="-135" w:hanging="281" w:hangingChars="88"/>
        <w:jc w:val="lef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提升教科研能力 做新时代合格中职教师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专题网络培训课程表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936"/>
        <w:gridCol w:w="95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模块</w:t>
            </w: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  <w:lang w:val="en-US" w:eastAsia="zh-CN"/>
              </w:rPr>
              <w:t>职教政策学习</w:t>
            </w: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新时代职业教育深化改革的顶层设计与施工蓝图——学习《国家职业教育改革实施方案》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王继平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教育部副总督学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《国家职业教育改革实施方案》解读：国家专业教学标准建设是实现职业教育现代化的基础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徐国庆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华东师范大学职业教育与成人教育研究所所长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双师型教师队伍建设新要求新举措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李新发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天津职业技术师范大学教授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国家级职业教育教师教学创新团队建设的旨规与策略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吴全全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天津中德应用技术大学研究员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中等职业教育的形势与路径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郭静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国家教育行政学院职业教育研究中心副教授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“1+X”证书制度的治理意蕴及误区规避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闫智勇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天津中德应用技术大学副教授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restart"/>
            <w:shd w:val="clear" w:color="000000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师德师风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  <w:lang w:val="en-US" w:eastAsia="zh-CN"/>
              </w:rPr>
              <w:t>建设</w:t>
            </w: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新时代师德师风建设的新使命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高书国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新时代的劳模精神与工匠精神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乔东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中国劳动关系学院教授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保持阳光心态，运用教育智慧，做中职学生的引路人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杨桂华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北京市商业学校教育艺术系党支部书记、高级职业指导师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德育创新</w:t>
            </w:r>
          </w:p>
        </w:tc>
        <w:tc>
          <w:tcPr>
            <w:tcW w:w="3936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聚焦课程思政 落实立德树人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李新萍</w:t>
            </w:r>
          </w:p>
        </w:tc>
        <w:tc>
          <w:tcPr>
            <w:tcW w:w="2977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陕西铁路工程职业技术学院教授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实施“三全育人 ”，提升学生APLIC核心素养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邱化民</w:t>
            </w:r>
          </w:p>
        </w:tc>
        <w:tc>
          <w:tcPr>
            <w:tcW w:w="2977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北京师范大学教育学部学生办公室主任、行政二支部书记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教导学生学会做人 开展未成年人思想道德教育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黄正平</w:t>
            </w:r>
          </w:p>
        </w:tc>
        <w:tc>
          <w:tcPr>
            <w:tcW w:w="2977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江苏省教育科学研究院研究员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职业院校学生管理和德育的着力点——动力机制重构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蒋乃平</w:t>
            </w:r>
          </w:p>
        </w:tc>
        <w:tc>
          <w:tcPr>
            <w:tcW w:w="2977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北京市朝阳区教研中心退休教师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师生交往中的心理沟通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蔺桂瑞</w:t>
            </w:r>
          </w:p>
        </w:tc>
        <w:tc>
          <w:tcPr>
            <w:tcW w:w="2977" w:type="dxa"/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“双师型”教师发展</w:t>
            </w: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职业教育双师型教师队伍培养的理论诠释与实践路径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闫智勇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天津中德应用技术大学副教授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优秀到不能被忽视——中职教师专业发展与成长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赵丽英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河南省教育厅职业技术教育教学研究室主任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教学与青年教师发展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李俊峰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清华大学航天航空学院党委书记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教练型教师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邢晖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国家教育行政学院职业教育研究中心主任、研究员、教授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压力疏导与情绪管理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郑日昌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北京师范大学心理学院教授、博士生导师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信息化教学</w:t>
            </w: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职业院校信息化教学生态建设与实践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熊发涯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黄冈职业技术学院党委委员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Cs w:val="21"/>
                <w:lang w:bidi="ar"/>
              </w:rPr>
              <w:t>信息技术支持下的教学反思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Cs w:val="21"/>
                <w:lang w:bidi="ar"/>
              </w:rPr>
              <w:t>肖玉敏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Cs w:val="21"/>
                <w:lang w:bidi="ar"/>
              </w:rPr>
              <w:t>华东师范大学教育学部教育信息网络中心主任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Cs w:val="21"/>
                <w:lang w:bidi="ar"/>
              </w:rPr>
              <w:t>信息技术时代的课程建设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Cs w:val="21"/>
                <w:lang w:bidi="ar"/>
              </w:rPr>
              <w:t>俎云霄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Cs w:val="21"/>
                <w:lang w:bidi="ar"/>
              </w:rPr>
              <w:t>北京邮电大学电子工程学院教授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CFCFC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在线教学中如何引导学生思考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微课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微课设计与制作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杨上影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广西师范学院网络与教育技术中心副主任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利用慕课资源实施翻转课堂的实践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于歆杰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清华大学电机工程与应用电子技术系长聘副教授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三教改革</w:t>
            </w: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“三教”改革背景下软件技术专业教师教学创新团队的建设探索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李圣良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九江职业技术学院信息工程学院院长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instrText xml:space="preserve"> HYPERLINK "https://study.enaea.edu.cn/kecheng/detail_280208" \o "职业院校教师教学创新团队建设研究与实践" \t "https://study.enaea.edu.cn/_blank" </w:instrTex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职业院校教师教学创新团队建设研究与实践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李粉霞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山西机电职业技术学院数控工程系主任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职业院校教师教学变革与教学能力提升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熊发涯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黄冈职业技术学院党委委员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活页教材编写体例和案例分析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闫智勇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姜大源教育名家工作室秘书长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能力本位职业教育课程开发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徐国庆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华东师范大学职业教育与成人教育研究所所长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职业院校有用、有趣、有效的三有课堂教学改革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郑艳秋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昌平职业学校副校长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用诊改思维推进专业建设与有效教学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熊发涯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黄冈职业技术学院党委委员、副校长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如何打造信息时代的“金课”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王竹立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中山大学教师发展中心培训教师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职业院校教师如何说课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徐涵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沈阳师范大学职业技术教育研究所所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职业院校有效课堂的理性思考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杨克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沈阳市装备制造工程学校教授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课程教学模式改革与创新——《动力电池与驱动电机技术》说课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申丽华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维修电工高级工，汽车维修工高级工，上海工商职业技术学院新能源汽车运用与维修专业教师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科研指导</w:t>
            </w: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职业教育研究与教育成果准备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邢晖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国家教育行政学院学术委员会主任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科研论文的撰写与创新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褚福磊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如何提升职业院校师资科研和成果转化能力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何向荣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浙江工贸职业技术学院原党委书记，院长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3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教学改革项目成果培育对策、申报技巧和评审指标</w:t>
            </w:r>
          </w:p>
        </w:tc>
        <w:tc>
          <w:tcPr>
            <w:tcW w:w="9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闫智勇</w:t>
            </w:r>
          </w:p>
        </w:tc>
        <w:tc>
          <w:tcPr>
            <w:tcW w:w="297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天津中德应用技术大学副教授、姜大源教育名家工作室秘书</w:t>
            </w:r>
          </w:p>
        </w:tc>
      </w:tr>
    </w:tbl>
    <w:p>
      <w:pPr>
        <w:spacing w:before="156" w:beforeLines="50"/>
        <w:jc w:val="left"/>
        <w:rPr>
          <w:rFonts w:hint="eastAsia" w:ascii="Times New Roman" w:hAnsi="Times New Roman" w:eastAsia="仿宋" w:cs="Times New Roman"/>
          <w:b w:val="0"/>
          <w:bCs w:val="0"/>
          <w:sz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lang w:val="en-US" w:eastAsia="zh-CN"/>
        </w:rPr>
        <w:t>注</w:t>
      </w:r>
      <w:r>
        <w:rPr>
          <w:rFonts w:hint="eastAsia" w:ascii="Times New Roman" w:hAnsi="Times New Roman" w:eastAsia="仿宋" w:cs="Times New Roman"/>
          <w:b/>
          <w:bCs/>
          <w:sz w:val="24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24"/>
        </w:rPr>
        <w:t>1.个别课程或稍有调整，请以平台最终发布课程为准；</w:t>
      </w:r>
    </w:p>
    <w:p>
      <w:pPr>
        <w:spacing w:before="156" w:beforeLines="50"/>
        <w:ind w:left="483" w:leftChars="230" w:firstLine="0" w:firstLineChars="0"/>
        <w:jc w:val="left"/>
        <w:rPr>
          <w:rFonts w:hint="eastAsia" w:ascii="Times New Roman" w:hAnsi="Times New Roman" w:eastAsia="仿宋" w:cs="Times New Roman"/>
          <w:b/>
          <w:bCs/>
          <w:sz w:val="24"/>
        </w:rPr>
      </w:pPr>
      <w:r>
        <w:rPr>
          <w:rFonts w:hint="eastAsia" w:ascii="Times New Roman" w:hAnsi="Times New Roman" w:eastAsia="仿宋" w:cs="Times New Roman"/>
          <w:b w:val="0"/>
          <w:bCs w:val="0"/>
          <w:sz w:val="24"/>
        </w:rPr>
        <w:t>2.课程主讲人职务为课程录制时的职务。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B2079"/>
    <w:rsid w:val="614B2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2020-09-27T07:06:00Z</dcterms:created>
  <dc:creator>孙赛</dc:creator>
  <cp:lastModifiedBy>孙赛</cp:lastModifiedBy>
  <dcterms:modified xsi:type="dcterms:W3CDTF">2020-09-27T07:07:22Z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