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EF" w:rsidRDefault="00845B03">
      <w:pPr>
        <w:spacing w:line="520" w:lineRule="exact"/>
        <w:rPr>
          <w:rFonts w:ascii="仿宋" w:eastAsia="仿宋" w:hAnsi="仿宋"/>
          <w:b/>
          <w:color w:val="000000" w:themeColor="text1"/>
          <w:sz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28"/>
        </w:rPr>
        <w:t>附件</w:t>
      </w:r>
    </w:p>
    <w:p w:rsidR="00C740EF" w:rsidRDefault="00845B03">
      <w:pPr>
        <w:spacing w:line="520" w:lineRule="exact"/>
        <w:ind w:firstLineChars="200" w:firstLine="562"/>
        <w:rPr>
          <w:rFonts w:ascii="仿宋" w:eastAsia="仿宋" w:hAnsi="仿宋"/>
          <w:b/>
          <w:color w:val="000000" w:themeColor="text1"/>
          <w:sz w:val="28"/>
        </w:rPr>
      </w:pPr>
      <w:r>
        <w:rPr>
          <w:rFonts w:ascii="仿宋" w:eastAsia="仿宋" w:hAnsi="仿宋" w:hint="eastAsia"/>
          <w:b/>
          <w:color w:val="000000" w:themeColor="text1"/>
          <w:sz w:val="28"/>
        </w:rPr>
        <w:t>“</w:t>
      </w:r>
      <w:r>
        <w:rPr>
          <w:rFonts w:ascii="仿宋" w:eastAsia="仿宋" w:hAnsi="仿宋" w:cs="仿宋" w:hint="eastAsia"/>
          <w:b/>
          <w:sz w:val="28"/>
          <w:szCs w:val="32"/>
        </w:rPr>
        <w:t>党史、新中国史、改革开放史和社会主义发展史</w:t>
      </w:r>
      <w:r>
        <w:rPr>
          <w:rFonts w:ascii="仿宋" w:eastAsia="仿宋" w:hAnsi="仿宋" w:hint="eastAsia"/>
          <w:b/>
          <w:color w:val="000000" w:themeColor="text1"/>
          <w:sz w:val="28"/>
        </w:rPr>
        <w:t>专题培训”课程列表</w:t>
      </w:r>
    </w:p>
    <w:p w:rsidR="00C740EF" w:rsidRDefault="00C740EF"/>
    <w:p w:rsidR="00C740EF" w:rsidRDefault="00845B03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模块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32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32"/>
        </w:rPr>
        <w:t>：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学党史，明初心，知使命</w:t>
      </w:r>
    </w:p>
    <w:tbl>
      <w:tblPr>
        <w:tblW w:w="10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3970"/>
        <w:gridCol w:w="1000"/>
        <w:gridCol w:w="3840"/>
        <w:gridCol w:w="810"/>
      </w:tblGrid>
      <w:tr w:rsidR="00C740EF">
        <w:trPr>
          <w:trHeight w:val="29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主讲人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时长</w:t>
            </w:r>
          </w:p>
        </w:tc>
      </w:tr>
      <w:tr w:rsidR="00C740EF">
        <w:trPr>
          <w:trHeight w:val="4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中国共产党的创立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祝彦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中共中央党校（国家行政学院）中共党史教研部毛泽东思想教研室主任、教授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</w:tr>
      <w:tr w:rsidR="00C740EF">
        <w:trPr>
          <w:trHeight w:val="26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“红船精神”新长征路上的精神底蕴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戴立兴</w:t>
            </w:r>
            <w:proofErr w:type="gram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中国社会科学院马克思主义研究院研究员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</w:tr>
      <w:tr w:rsidR="00C740EF">
        <w:trPr>
          <w:trHeight w:val="19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“井冈山精神”的内涵及其当代价值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陈胜华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中国井冈山干部学院教学科研部党史教研中心主任，教授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</w:tr>
      <w:tr w:rsidR="00C740EF">
        <w:trPr>
          <w:trHeight w:val="3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国共两党与抗日战争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卢毅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中共中央党校中国现代政党史教研室副主任。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</w:tr>
      <w:tr w:rsidR="00C740EF">
        <w:trPr>
          <w:trHeight w:val="29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历史记忆中的长征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纪录片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C740EF">
            <w:pPr>
              <w:jc w:val="lef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</w:tr>
      <w:tr w:rsidR="00C740EF">
        <w:trPr>
          <w:trHeight w:val="3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遵义会议，中国共产党历史上一次重大的历史转折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祝彦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国家行政学院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党史教研部教授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</w:tr>
      <w:tr w:rsidR="00C740EF">
        <w:trPr>
          <w:trHeight w:val="29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“延安精神”的时代价值与现实意义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郭必选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延安大学政法学院教授，延安精神研究会会长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</w:tr>
    </w:tbl>
    <w:p w:rsidR="00C740EF" w:rsidRDefault="00845B03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模块二：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学新中国史，坚定信念，砥砺前行</w:t>
      </w:r>
    </w:p>
    <w:tbl>
      <w:tblPr>
        <w:tblW w:w="10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3970"/>
        <w:gridCol w:w="1000"/>
        <w:gridCol w:w="3840"/>
        <w:gridCol w:w="810"/>
      </w:tblGrid>
      <w:tr w:rsidR="00C740EF">
        <w:trPr>
          <w:trHeight w:val="29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主讲人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时长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中华人民共和国成立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周年光辉历程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555555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555555"/>
                <w:kern w:val="0"/>
                <w:sz w:val="18"/>
                <w:szCs w:val="18"/>
                <w:lang w:bidi="ar"/>
              </w:rPr>
              <w:t>祝彦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中共中央党校（国家行政学院）中共党史教研部毛泽东思想教研室主任、教授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新中国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年发展与中国共产党的领导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徐斌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北京师范大学教授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从一穷二白到世界第二大经济体——新中国成立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年来经济发展的回顾和展望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王小鲁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中国经济改革研究基金会国民经济研究所副所长，研究员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</w:tr>
      <w:tr w:rsidR="00C740EF">
        <w:trPr>
          <w:trHeight w:val="7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播撒公平正义的法治之光，让法治力量浸润人心——新中国成立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年来社会主义法治建设的成就与经验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胡锦光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中国人民大学法学院副院长、公共政策研究院副院长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坚定文化自信，建设新时代社会主义文化强国——新中国成立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年来文化体制改革与文化发展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祁述裕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中共中央党校（国家行政学院）文化政策与管理研究中心主任、教授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从文盲大国到人力资源大国——建国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周年中国教育改革发展辉煌成就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高书国</w:t>
            </w:r>
            <w:proofErr w:type="gram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中国教育学会副秘书长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从“一边倒”到“大国外交”——新中国成立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年来外交战略的演变及经验总结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宋伟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中国人民大学国际关系学院教授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</w:tr>
      <w:tr w:rsidR="00C740EF">
        <w:trPr>
          <w:trHeight w:val="7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从晴天一身灰、雨天一身泥到综合立体交通加速构建、海陆空四通八达——新中国成立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周年交通规划发展回顾与展望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郭小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碚</w:t>
            </w:r>
            <w:proofErr w:type="gram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国家发展和改革委员会综合运输研究所原所长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</w:tr>
    </w:tbl>
    <w:p w:rsidR="00C740EF" w:rsidRDefault="00845B03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模块三：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学改革开放史，继往开来，迈向复兴</w:t>
      </w:r>
    </w:p>
    <w:tbl>
      <w:tblPr>
        <w:tblW w:w="10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3970"/>
        <w:gridCol w:w="1000"/>
        <w:gridCol w:w="3840"/>
        <w:gridCol w:w="810"/>
      </w:tblGrid>
      <w:tr w:rsidR="00C740EF">
        <w:trPr>
          <w:trHeight w:val="29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主讲人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时长</w:t>
            </w:r>
          </w:p>
        </w:tc>
      </w:tr>
      <w:tr w:rsidR="00C740EF">
        <w:trPr>
          <w:trHeight w:val="29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C740EF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C740EF">
            <w:pPr>
              <w:jc w:val="lef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C740EF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C740EF">
            <w:pPr>
              <w:jc w:val="left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C740EF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</w:tr>
      <w:tr w:rsidR="00C740EF">
        <w:trPr>
          <w:trHeight w:val="7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改革开放促进中国的伟大飞跃——学习贯彻习近平总书记在庆祝改革开放四十周年大会重要讲话精神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陈冬生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中共中央党校（国家行政学院）教授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改革开放四十年来四个历史阶段回顾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高尚全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中国经济体制改革研究会原名誉会长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中国改革为什么能成功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徐斌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北京师范大学教授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中国改革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年若干深层理论思考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常修泽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中国宏观经济研究院教授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改革开放与中国特色社会主义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孙蚌珠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北京大学马克思主义学院党委书记、副院长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改革开放新征程中的中国宏观经济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刘元春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中国人民大学副校长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改革开放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年社会政策的发展与理念变化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林卡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浙江大学公共管理学院教授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在党的坚强领导下继往开来踏上改革开放新征程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马建堂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国务院发展研究中心党组书记、副主任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改革开放以来我国高等学校的法治建设及其时代发展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孙霄兵</w:t>
            </w:r>
            <w:proofErr w:type="gram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教育部政策法规司原司长，国家督学、中国教育发展战略学会执行会长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</w:tr>
    </w:tbl>
    <w:p w:rsidR="00C740EF" w:rsidRDefault="00845B03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模块四：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学社会主义发展史，为人类对更好社会制度的探索提供中国方案</w:t>
      </w:r>
    </w:p>
    <w:tbl>
      <w:tblPr>
        <w:tblW w:w="10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3970"/>
        <w:gridCol w:w="1000"/>
        <w:gridCol w:w="3840"/>
        <w:gridCol w:w="810"/>
      </w:tblGrid>
      <w:tr w:rsidR="00C740EF">
        <w:trPr>
          <w:trHeight w:val="29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主讲人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时长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坚持和完善党的领导制度体系，提高党科学执政、民主执政、依法执政水平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曹鹏飞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中央党校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国家行政学院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党建部教授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坚持和完善人民当家作主制度体系，发展社会主义民主政治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张峰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中央社会主义学院原副院长，哲学教授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坚持和完善中国特色社会主义法治体系，提高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党依法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治国、依法执政能力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胡锦光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中国人民大学法学院副院长、公共政策研究院副院长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坚持和完善社会主义基本经济制度，推动经济高质量发展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王小广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中共中央党校（国家行政学院）经济学部副主任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坚持和完善繁荣发展社会主义先进文化的制度，巩固全体人民团结奋斗的共同思想基础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张国祚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中国文化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软实力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研究中心主任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坚持和完善共建共治共享的社会治理制度，保持社会稳定、维护国家安全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丁元竹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中央党校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国家行政学院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社会和生态文明教研部副主任、教授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坚持和完善中国特色社会主义行政体制，构建职责明确、依法行政的政府治理体系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李军鹏</w:t>
            </w:r>
            <w:proofErr w:type="gram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中共中央党校（国家行政学院）公共管理教研部教授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坚持和完善统筹城乡的民生保障制度，满足人民日益增长的美好生活需要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杨宜勇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国家发展和改革委员会社会发展研究所所长、研究员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坚持和完善生态文明制度体系，促进人与自然和谐共生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宋豫秦</w:t>
            </w:r>
            <w:proofErr w:type="gram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北京大学环境科学与工程学院教授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坚持和完善党对人民军队的绝对领导制度，确保人民军队忠实履行新时代使命任务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马德宝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军事科学院毛泽东军事思想研究室原主任，研究员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坚持和完善“一国两制”制度体系，推进祖国和平统一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朱卫东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中国社会科学院台湾研究所副所长，研究员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</w:tr>
      <w:tr w:rsidR="00C740EF">
        <w:trPr>
          <w:trHeight w:val="87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坚持和完善独立自主的和平外交政策，推动构建人类命运共同体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冯仲平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中国现代国际关系研究院副院长，研究员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</w:tbl>
    <w:p w:rsidR="00C740EF" w:rsidRDefault="00845B03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模块五：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学优秀传统文化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铸就中华文化新辉煌</w:t>
      </w:r>
    </w:p>
    <w:tbl>
      <w:tblPr>
        <w:tblW w:w="10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3970"/>
        <w:gridCol w:w="1000"/>
        <w:gridCol w:w="3840"/>
        <w:gridCol w:w="810"/>
      </w:tblGrid>
      <w:tr w:rsidR="00C740EF">
        <w:trPr>
          <w:trHeight w:val="29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主讲人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18"/>
                <w:szCs w:val="18"/>
                <w:lang w:bidi="ar"/>
              </w:rPr>
              <w:t>时长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555555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555555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中国传统文化的智慧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楼宇烈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北京大学哲学系教授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555555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555555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发掘传统文化资源，充实价值认知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王蒙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中国当代作家、学者，曾任文化部部长、中国作家协会副主席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555555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555555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核心价值观必须立足中华优秀传统文化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李汉秋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著名人文学家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555555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555555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《论语》和孔子的教育之道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查正贤</w:t>
            </w:r>
            <w:proofErr w:type="gram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华东师范大学中文系教师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555555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555555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《孟子》与中国传统文化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徐莉莉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555555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555555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魅力诗经：中国人的精神家底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李山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北京师范大学文学院教授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555555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555555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《史记》与中国传统文化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赵璐璐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中共中央党校文史部讲师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555555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555555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老子的“道”与“路”——老子的文化形象与《道德经》的解读途径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王德岩</w:t>
            </w:r>
            <w:proofErr w:type="gram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北方工业大学中文系主任，审美文化研究所所长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</w:tr>
      <w:tr w:rsidR="00C740EF">
        <w:trPr>
          <w:trHeight w:val="58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555555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555555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《周易》哲学与东方智慧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章伟文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0EF" w:rsidRDefault="00845B0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北京师范大学哲学与社会学学院中国哲学与文化研究所所长，副教授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0EF" w:rsidRDefault="00845B0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</w:tr>
    </w:tbl>
    <w:p w:rsidR="00C740EF" w:rsidRDefault="00C740EF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</w:p>
    <w:p w:rsidR="00C740EF" w:rsidRDefault="00845B03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说明：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个别课程或稍有调整，请以平台最终发布课程为准。</w:t>
      </w:r>
    </w:p>
    <w:p w:rsidR="00C740EF" w:rsidRDefault="00845B03">
      <w:pPr>
        <w:ind w:firstLineChars="300" w:firstLine="840"/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课程主讲人职务为课程录制时的职务</w:t>
      </w:r>
    </w:p>
    <w:p w:rsidR="00C740EF" w:rsidRDefault="00C740EF"/>
    <w:sectPr w:rsidR="00C740E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3879D2"/>
    <w:rsid w:val="00845B03"/>
    <w:rsid w:val="00C740EF"/>
    <w:rsid w:val="023879D2"/>
    <w:rsid w:val="06A24E2E"/>
    <w:rsid w:val="0AC17F02"/>
    <w:rsid w:val="183232B5"/>
    <w:rsid w:val="24974D4B"/>
    <w:rsid w:val="29DF3CBC"/>
    <w:rsid w:val="2AB824E8"/>
    <w:rsid w:val="2E190748"/>
    <w:rsid w:val="3F720820"/>
    <w:rsid w:val="43F71B25"/>
    <w:rsid w:val="460F7689"/>
    <w:rsid w:val="4A3C5E0C"/>
    <w:rsid w:val="4C1C1666"/>
    <w:rsid w:val="52C26ED1"/>
    <w:rsid w:val="5ABA29FD"/>
    <w:rsid w:val="628C6DDE"/>
    <w:rsid w:val="690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15291"/>
  <w15:docId w15:val="{1FA93A46-99A6-45AA-930F-D0AD1B25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Company>P R C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</dc:creator>
  <cp:lastModifiedBy>Windows User</cp:lastModifiedBy>
  <cp:revision>2</cp:revision>
  <dcterms:created xsi:type="dcterms:W3CDTF">2020-10-16T05:24:00Z</dcterms:created>
  <dcterms:modified xsi:type="dcterms:W3CDTF">2020-10-16T05:24:00Z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