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47" w:rsidRDefault="00256D0D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</w:p>
    <w:p w:rsidR="005E7747" w:rsidRDefault="00256D0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“深入学习贯彻党的十九届四中全会精神”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精品网课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列表</w:t>
      </w:r>
    </w:p>
    <w:p w:rsidR="005E7747" w:rsidRDefault="00256D0D">
      <w:pPr>
        <w:ind w:firstLineChars="200" w:firstLine="562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模块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：“十九届四中全会精神”专题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1150"/>
        <w:gridCol w:w="3138"/>
        <w:gridCol w:w="1197"/>
      </w:tblGrid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程名称</w:t>
            </w:r>
          </w:p>
        </w:tc>
        <w:tc>
          <w:tcPr>
            <w:tcW w:w="1150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讲</w:t>
            </w:r>
          </w:p>
        </w:tc>
        <w:tc>
          <w:tcPr>
            <w:tcW w:w="3138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职位</w:t>
            </w:r>
          </w:p>
        </w:tc>
        <w:tc>
          <w:tcPr>
            <w:tcW w:w="1197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时长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分钟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学习领会党的十九届四中全会精神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颜晓峰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天津大学马克思主义学院</w:t>
            </w:r>
            <w:proofErr w:type="gramStart"/>
            <w:r>
              <w:rPr>
                <w:rFonts w:hint="eastAsia"/>
              </w:rPr>
              <w:t>院</w:t>
            </w:r>
            <w:proofErr w:type="gramEnd"/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124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深入学习贯彻党的十九届四中全会精神，推进教育治理体系和治理能力现代化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张力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国家教育咨询委员会秘书长，全国教育科学规划教育战略学科组组长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  155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发挥好“显著优势”，坚持和完善党的领导制度体系，提高党科学执政、民主执政、依法执政水平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曹鹏飞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中共中央党校（国家行政学院）党建部教授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85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发挥好“显著优势”，坚持和完善人民当家作主制度体系，发展社会主义民主政治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峰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中央社会主义学院原副院长、教授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108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发挥好“显著优势”，坚持和完善中国特色社会主义法治体系，提高</w:t>
            </w:r>
            <w:proofErr w:type="gramStart"/>
            <w:r>
              <w:rPr>
                <w:rFonts w:hint="eastAsia"/>
              </w:rPr>
              <w:t>党依法</w:t>
            </w:r>
            <w:proofErr w:type="gramEnd"/>
            <w:r>
              <w:rPr>
                <w:rFonts w:hint="eastAsia"/>
              </w:rPr>
              <w:t>治国、依法执政能力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胡锦光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中国人民大学法学院副院长、教授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72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发挥好“显著优势”，坚持和完善社会主义基本经济制度，推动经济高质量发展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王小广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中共中央党校（国家行政学院）经济学部副主任、教授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91</w:t>
            </w:r>
          </w:p>
        </w:tc>
      </w:tr>
      <w:tr w:rsidR="005E7747">
        <w:trPr>
          <w:trHeight w:val="90"/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发挥好“显著优势”，坚持和完善繁荣发展社会主义先进文化的制度，巩固全体人民团结奋斗的共同思想基础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张国祚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中央马克思主义理论研究和建设工程首席专家、中国文化</w:t>
            </w:r>
            <w:proofErr w:type="gramStart"/>
            <w:r>
              <w:rPr>
                <w:rFonts w:hint="eastAsia"/>
              </w:rPr>
              <w:t>软实力</w:t>
            </w:r>
            <w:proofErr w:type="gramEnd"/>
            <w:r>
              <w:rPr>
                <w:rFonts w:hint="eastAsia"/>
              </w:rPr>
              <w:t>研究中心主任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85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发挥好“显著优势”，坚持和完善共建共治共享的社会治理制度，保持社会稳定、维护国家安全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丁元竹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中共中央党校（国家行政学院）社会和生态文明部副主任、教授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104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发挥好“显著优势”，坚持和完善中国特色社会主义行政体制，构建职责明确、依法行政的政府治理体系</w:t>
            </w:r>
          </w:p>
        </w:tc>
        <w:tc>
          <w:tcPr>
            <w:tcW w:w="1150" w:type="dxa"/>
            <w:vAlign w:val="center"/>
          </w:tcPr>
          <w:p w:rsidR="005E7747" w:rsidRDefault="00256D0D">
            <w:proofErr w:type="gramStart"/>
            <w:r>
              <w:rPr>
                <w:rFonts w:hint="eastAsia"/>
              </w:rPr>
              <w:t>李军鹏</w:t>
            </w:r>
            <w:proofErr w:type="gramEnd"/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中共中央党校（国家行政学院）公共管理教研部教授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103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发挥好“显著优势”，坚持和完善统筹城乡的民生保障制度，满足人民日益增长的美好生活需要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杨宜勇</w:t>
            </w:r>
          </w:p>
        </w:tc>
        <w:tc>
          <w:tcPr>
            <w:tcW w:w="3138" w:type="dxa"/>
            <w:vAlign w:val="center"/>
          </w:tcPr>
          <w:p w:rsidR="005E7747" w:rsidRDefault="00256D0D">
            <w:proofErr w:type="gramStart"/>
            <w:r>
              <w:rPr>
                <w:rFonts w:hint="eastAsia"/>
              </w:rPr>
              <w:t>国家发改委</w:t>
            </w:r>
            <w:proofErr w:type="gramEnd"/>
            <w:r>
              <w:rPr>
                <w:rFonts w:hint="eastAsia"/>
              </w:rPr>
              <w:t>社会所所长、研究员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87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发挥好“显著优势”，坚持和完善生态文明制度体系，促进人与自然和谐共生</w:t>
            </w:r>
          </w:p>
        </w:tc>
        <w:tc>
          <w:tcPr>
            <w:tcW w:w="1150" w:type="dxa"/>
            <w:vAlign w:val="center"/>
          </w:tcPr>
          <w:p w:rsidR="005E7747" w:rsidRDefault="00256D0D">
            <w:proofErr w:type="gramStart"/>
            <w:r>
              <w:rPr>
                <w:rFonts w:hint="eastAsia"/>
              </w:rPr>
              <w:t>宋豫秦</w:t>
            </w:r>
            <w:proofErr w:type="gramEnd"/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北京大学环境科学与工程学院教授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110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发挥好“显著优势”，坚持和完善党对人民军队的绝对领导制度，确保人民军队忠实履行新时代使命任务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马德宝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军事科学院毛泽东军事思想研究室原主任、研究员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87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发挥好“显著优势”，坚持和完善“一国两制”制度体系，推进祖国和平统一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朱卫东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中国社科院台湾所副所长、研究员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200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发挥好“显著优势”，坚持和完善独立自主的和平外交政策，推动构建人类命运共同体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冯仲平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中国现代国际关系研究院副院长、研究员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100</w:t>
            </w:r>
          </w:p>
        </w:tc>
      </w:tr>
      <w:tr w:rsidR="005E7747">
        <w:trPr>
          <w:jc w:val="center"/>
        </w:trPr>
        <w:tc>
          <w:tcPr>
            <w:tcW w:w="5306" w:type="dxa"/>
            <w:vAlign w:val="center"/>
          </w:tcPr>
          <w:p w:rsidR="005E7747" w:rsidRDefault="00256D0D">
            <w:r>
              <w:rPr>
                <w:rFonts w:hint="eastAsia"/>
              </w:rPr>
              <w:t>坚定制度自信，坚持和完善党和国家监督体系，强化对权力运行的制约和监督</w:t>
            </w:r>
          </w:p>
        </w:tc>
        <w:tc>
          <w:tcPr>
            <w:tcW w:w="1150" w:type="dxa"/>
            <w:vAlign w:val="center"/>
          </w:tcPr>
          <w:p w:rsidR="005E7747" w:rsidRDefault="00256D0D"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进</w:t>
            </w:r>
          </w:p>
        </w:tc>
        <w:tc>
          <w:tcPr>
            <w:tcW w:w="3138" w:type="dxa"/>
            <w:vAlign w:val="center"/>
          </w:tcPr>
          <w:p w:rsidR="005E7747" w:rsidRDefault="00256D0D">
            <w:r>
              <w:rPr>
                <w:rFonts w:hint="eastAsia"/>
              </w:rPr>
              <w:t>中共中央党校（国家行政学院）政治和法律教研部教授</w:t>
            </w:r>
          </w:p>
        </w:tc>
        <w:tc>
          <w:tcPr>
            <w:tcW w:w="1197" w:type="dxa"/>
            <w:vAlign w:val="center"/>
          </w:tcPr>
          <w:p w:rsidR="005E7747" w:rsidRDefault="00256D0D">
            <w:r>
              <w:rPr>
                <w:rFonts w:hint="eastAsia"/>
              </w:rPr>
              <w:t>93</w:t>
            </w:r>
          </w:p>
        </w:tc>
      </w:tr>
    </w:tbl>
    <w:p w:rsidR="005E7747" w:rsidRDefault="00256D0D">
      <w:pPr>
        <w:ind w:firstLineChars="200" w:firstLine="562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模块二：“</w:t>
      </w:r>
      <w:r>
        <w:rPr>
          <w:rFonts w:ascii="仿宋" w:eastAsia="仿宋" w:hAnsi="仿宋" w:hint="eastAsia"/>
          <w:b/>
          <w:bCs/>
          <w:sz w:val="30"/>
          <w:szCs w:val="30"/>
        </w:rPr>
        <w:t>领导力科学建设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”</w:t>
      </w:r>
      <w:r>
        <w:rPr>
          <w:rFonts w:ascii="仿宋" w:eastAsia="仿宋" w:hAnsi="仿宋" w:hint="eastAsia"/>
          <w:b/>
          <w:bCs/>
          <w:sz w:val="30"/>
          <w:szCs w:val="30"/>
        </w:rPr>
        <w:t>专题</w:t>
      </w:r>
    </w:p>
    <w:tbl>
      <w:tblPr>
        <w:tblW w:w="108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282"/>
        <w:gridCol w:w="5519"/>
        <w:gridCol w:w="1206"/>
      </w:tblGrid>
      <w:tr w:rsidR="005E7747">
        <w:trPr>
          <w:trHeight w:val="55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时长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分钟</w:t>
            </w:r>
          </w:p>
        </w:tc>
      </w:tr>
      <w:tr w:rsidR="005E7747">
        <w:trPr>
          <w:trHeight w:val="718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履新领导常见的工作困局与破解思路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李克实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中国人事科学研究院副院长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正司级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，中国人才研究会常务理事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108</w:t>
            </w:r>
          </w:p>
        </w:tc>
      </w:tr>
      <w:tr w:rsidR="005E7747">
        <w:trPr>
          <w:trHeight w:val="977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lastRenderedPageBreak/>
              <w:t>提升领导干部外事素养与能力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军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国家行政学院政治学教研部副主任，国际事务与中国外交研究中心主任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81</w:t>
            </w:r>
          </w:p>
        </w:tc>
      </w:tr>
      <w:tr w:rsidR="005E7747">
        <w:trPr>
          <w:trHeight w:val="718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领导干部执行力提升策略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宋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明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国家行政学院公共管理教研部公共部门人力资源教研室主任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119</w:t>
            </w:r>
          </w:p>
        </w:tc>
      </w:tr>
      <w:tr w:rsidR="005E7747">
        <w:trPr>
          <w:trHeight w:val="817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如何全面提升管理素养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松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世界银行中国项目开发中心（</w:t>
            </w:r>
            <w:r>
              <w:rPr>
                <w:rFonts w:hint="eastAsia"/>
              </w:rPr>
              <w:t>CPDF</w:t>
            </w:r>
            <w:r>
              <w:rPr>
                <w:rFonts w:hint="eastAsia"/>
              </w:rPr>
              <w:t>）认证培训师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61</w:t>
            </w:r>
          </w:p>
        </w:tc>
      </w:tr>
      <w:tr w:rsidR="005E7747">
        <w:trPr>
          <w:trHeight w:val="628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管理者如何做好部属培养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孙春岭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高级人力资源师，美国“领越领导力教练”认证讲师，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94</w:t>
            </w:r>
          </w:p>
        </w:tc>
      </w:tr>
      <w:tr w:rsidR="005E7747">
        <w:trPr>
          <w:trHeight w:val="977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提升领导干部分析解决实际问题的能力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胡月星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中共中央党校（国家行政学院）党的建设教研部领导科学教研室主任、教授、博士生导师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109</w:t>
            </w:r>
          </w:p>
        </w:tc>
      </w:tr>
      <w:tr w:rsidR="005E7747">
        <w:trPr>
          <w:trHeight w:val="634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轻松高效的管理工具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郭司理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北京大学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上海交通大学总裁班特聘专家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115</w:t>
            </w:r>
          </w:p>
        </w:tc>
      </w:tr>
      <w:tr w:rsidR="005E7747">
        <w:trPr>
          <w:trHeight w:val="67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管理者的自我认知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松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世界银行中国项目开发中心（</w:t>
            </w:r>
            <w:r>
              <w:rPr>
                <w:rFonts w:hint="eastAsia"/>
              </w:rPr>
              <w:t>CPDF</w:t>
            </w:r>
            <w:r>
              <w:rPr>
                <w:rFonts w:hint="eastAsia"/>
              </w:rPr>
              <w:t>）认证培训师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747" w:rsidRDefault="00256D0D">
            <w:r>
              <w:rPr>
                <w:rFonts w:hint="eastAsia"/>
              </w:rPr>
              <w:t>16</w:t>
            </w:r>
          </w:p>
        </w:tc>
      </w:tr>
    </w:tbl>
    <w:p w:rsidR="005E7747" w:rsidRDefault="00256D0D">
      <w:pPr>
        <w:ind w:firstLineChars="200" w:firstLine="562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模块三：“</w:t>
      </w:r>
      <w:r>
        <w:rPr>
          <w:rFonts w:ascii="仿宋" w:eastAsia="仿宋" w:hAnsi="仿宋" w:hint="eastAsia"/>
          <w:b/>
          <w:bCs/>
          <w:sz w:val="30"/>
          <w:szCs w:val="30"/>
        </w:rPr>
        <w:t>法律法规的应用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”</w:t>
      </w:r>
      <w:r>
        <w:rPr>
          <w:rFonts w:ascii="仿宋" w:eastAsia="仿宋" w:hAnsi="仿宋" w:hint="eastAsia"/>
          <w:b/>
          <w:bCs/>
          <w:sz w:val="30"/>
          <w:szCs w:val="30"/>
        </w:rPr>
        <w:t>专题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500"/>
        <w:gridCol w:w="4074"/>
        <w:gridCol w:w="1086"/>
      </w:tblGrid>
      <w:tr w:rsidR="005E7747">
        <w:trPr>
          <w:trHeight w:val="520"/>
          <w:jc w:val="center"/>
        </w:trPr>
        <w:tc>
          <w:tcPr>
            <w:tcW w:w="4113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00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4074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086" w:type="dxa"/>
            <w:vAlign w:val="center"/>
          </w:tcPr>
          <w:p w:rsidR="005E7747" w:rsidRDefault="00256D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时长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分钟</w:t>
            </w:r>
          </w:p>
        </w:tc>
      </w:tr>
      <w:tr w:rsidR="005E7747">
        <w:trPr>
          <w:trHeight w:val="681"/>
          <w:jc w:val="center"/>
        </w:trPr>
        <w:tc>
          <w:tcPr>
            <w:tcW w:w="4113" w:type="dxa"/>
            <w:vAlign w:val="center"/>
          </w:tcPr>
          <w:p w:rsidR="005E7747" w:rsidRDefault="00256D0D">
            <w:r>
              <w:rPr>
                <w:rFonts w:hint="eastAsia"/>
              </w:rPr>
              <w:t>法律基础知识</w:t>
            </w:r>
          </w:p>
        </w:tc>
        <w:tc>
          <w:tcPr>
            <w:tcW w:w="1500" w:type="dxa"/>
            <w:vAlign w:val="center"/>
          </w:tcPr>
          <w:p w:rsidR="005E7747" w:rsidRDefault="00256D0D">
            <w:r>
              <w:rPr>
                <w:rFonts w:hint="eastAsia"/>
              </w:rPr>
              <w:t>王俊伟</w:t>
            </w:r>
          </w:p>
        </w:tc>
        <w:tc>
          <w:tcPr>
            <w:tcW w:w="4074" w:type="dxa"/>
            <w:vAlign w:val="center"/>
          </w:tcPr>
          <w:p w:rsidR="005E7747" w:rsidRDefault="00256D0D">
            <w:r>
              <w:rPr>
                <w:rFonts w:hint="eastAsia"/>
              </w:rPr>
              <w:t>辽宁华昊律师事务所合伙人律师</w:t>
            </w:r>
          </w:p>
        </w:tc>
        <w:tc>
          <w:tcPr>
            <w:tcW w:w="1086" w:type="dxa"/>
            <w:vAlign w:val="center"/>
          </w:tcPr>
          <w:p w:rsidR="005E7747" w:rsidRDefault="00256D0D">
            <w:r>
              <w:rPr>
                <w:rFonts w:hint="eastAsia"/>
              </w:rPr>
              <w:t>202</w:t>
            </w:r>
          </w:p>
        </w:tc>
      </w:tr>
      <w:tr w:rsidR="005E7747">
        <w:trPr>
          <w:trHeight w:val="520"/>
          <w:jc w:val="center"/>
        </w:trPr>
        <w:tc>
          <w:tcPr>
            <w:tcW w:w="4113" w:type="dxa"/>
            <w:vAlign w:val="center"/>
          </w:tcPr>
          <w:p w:rsidR="005E7747" w:rsidRDefault="00256D0D">
            <w:r>
              <w:rPr>
                <w:rFonts w:hint="eastAsia"/>
              </w:rPr>
              <w:t>《宪法》及相关法律知识解读</w:t>
            </w:r>
          </w:p>
        </w:tc>
        <w:tc>
          <w:tcPr>
            <w:tcW w:w="1500" w:type="dxa"/>
            <w:vAlign w:val="center"/>
          </w:tcPr>
          <w:p w:rsidR="005E7747" w:rsidRDefault="00256D0D"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玄</w:t>
            </w:r>
          </w:p>
        </w:tc>
        <w:tc>
          <w:tcPr>
            <w:tcW w:w="4074" w:type="dxa"/>
            <w:vAlign w:val="center"/>
          </w:tcPr>
          <w:p w:rsidR="005E7747" w:rsidRDefault="00256D0D">
            <w:r>
              <w:rPr>
                <w:rFonts w:hint="eastAsia"/>
              </w:rPr>
              <w:t>国家教育行政学院助理研究员</w:t>
            </w:r>
          </w:p>
        </w:tc>
        <w:tc>
          <w:tcPr>
            <w:tcW w:w="1086" w:type="dxa"/>
            <w:vAlign w:val="center"/>
          </w:tcPr>
          <w:p w:rsidR="005E7747" w:rsidRDefault="00256D0D">
            <w:r>
              <w:rPr>
                <w:rFonts w:hint="eastAsia"/>
              </w:rPr>
              <w:t>322</w:t>
            </w:r>
          </w:p>
        </w:tc>
      </w:tr>
      <w:tr w:rsidR="005E7747">
        <w:trPr>
          <w:trHeight w:val="811"/>
          <w:jc w:val="center"/>
        </w:trPr>
        <w:tc>
          <w:tcPr>
            <w:tcW w:w="4113" w:type="dxa"/>
            <w:vAlign w:val="center"/>
          </w:tcPr>
          <w:p w:rsidR="005E7747" w:rsidRDefault="00256D0D">
            <w:r>
              <w:rPr>
                <w:rFonts w:hint="eastAsia"/>
              </w:rPr>
              <w:t>《行政法》《行政诉讼法》及相关法律知识解读</w:t>
            </w:r>
          </w:p>
        </w:tc>
        <w:tc>
          <w:tcPr>
            <w:tcW w:w="1500" w:type="dxa"/>
            <w:vAlign w:val="center"/>
          </w:tcPr>
          <w:p w:rsidR="005E7747" w:rsidRDefault="00256D0D">
            <w:r>
              <w:rPr>
                <w:rFonts w:hint="eastAsia"/>
              </w:rPr>
              <w:t>王俊伟</w:t>
            </w:r>
          </w:p>
        </w:tc>
        <w:tc>
          <w:tcPr>
            <w:tcW w:w="4074" w:type="dxa"/>
            <w:vAlign w:val="center"/>
          </w:tcPr>
          <w:p w:rsidR="005E7747" w:rsidRDefault="00256D0D">
            <w:r>
              <w:rPr>
                <w:rFonts w:hint="eastAsia"/>
              </w:rPr>
              <w:t>辽宁华昊律师事务所合伙人律师</w:t>
            </w:r>
          </w:p>
        </w:tc>
        <w:tc>
          <w:tcPr>
            <w:tcW w:w="1086" w:type="dxa"/>
            <w:vAlign w:val="center"/>
          </w:tcPr>
          <w:p w:rsidR="005E7747" w:rsidRDefault="00256D0D">
            <w:r>
              <w:rPr>
                <w:rFonts w:hint="eastAsia"/>
              </w:rPr>
              <w:t>174</w:t>
            </w:r>
          </w:p>
        </w:tc>
      </w:tr>
      <w:tr w:rsidR="005E7747">
        <w:trPr>
          <w:trHeight w:val="809"/>
          <w:jc w:val="center"/>
        </w:trPr>
        <w:tc>
          <w:tcPr>
            <w:tcW w:w="4113" w:type="dxa"/>
            <w:vAlign w:val="center"/>
          </w:tcPr>
          <w:p w:rsidR="005E7747" w:rsidRDefault="00256D0D">
            <w:r>
              <w:rPr>
                <w:rFonts w:hint="eastAsia"/>
              </w:rPr>
              <w:t>行政诉讼法修改的基本情况</w:t>
            </w:r>
          </w:p>
        </w:tc>
        <w:tc>
          <w:tcPr>
            <w:tcW w:w="1500" w:type="dxa"/>
            <w:vAlign w:val="center"/>
          </w:tcPr>
          <w:p w:rsidR="005E7747" w:rsidRDefault="00256D0D">
            <w:proofErr w:type="gramStart"/>
            <w:r>
              <w:rPr>
                <w:rFonts w:hint="eastAsia"/>
              </w:rPr>
              <w:t>耿宝建</w:t>
            </w:r>
            <w:proofErr w:type="gramEnd"/>
          </w:p>
        </w:tc>
        <w:tc>
          <w:tcPr>
            <w:tcW w:w="4074" w:type="dxa"/>
            <w:vAlign w:val="center"/>
          </w:tcPr>
          <w:p w:rsidR="005E7747" w:rsidRDefault="00256D0D">
            <w:r>
              <w:rPr>
                <w:rFonts w:hint="eastAsia"/>
              </w:rPr>
              <w:t>最高人民法院行政审判庭法官，审判长</w:t>
            </w:r>
          </w:p>
        </w:tc>
        <w:tc>
          <w:tcPr>
            <w:tcW w:w="1086" w:type="dxa"/>
            <w:vAlign w:val="center"/>
          </w:tcPr>
          <w:p w:rsidR="005E7747" w:rsidRDefault="00256D0D">
            <w:r>
              <w:rPr>
                <w:rFonts w:hint="eastAsia"/>
              </w:rPr>
              <w:t>114</w:t>
            </w:r>
          </w:p>
        </w:tc>
      </w:tr>
    </w:tbl>
    <w:p w:rsidR="005E7747" w:rsidRDefault="00256D0D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说明：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个别课程或稍有调整，请以平台最终发布课程为准；</w:t>
      </w:r>
    </w:p>
    <w:p w:rsidR="005E7747" w:rsidRDefault="00256D0D">
      <w:pPr>
        <w:spacing w:line="360" w:lineRule="auto"/>
        <w:ind w:firstLineChars="300" w:firstLine="840"/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课程主讲人职务为课程录制时的职务。</w:t>
      </w:r>
    </w:p>
    <w:p w:rsidR="005E7747" w:rsidRDefault="005E774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32"/>
        </w:rPr>
      </w:pPr>
    </w:p>
    <w:p w:rsidR="005E7747" w:rsidRDefault="005E7747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</w:rPr>
      </w:pPr>
    </w:p>
    <w:p w:rsidR="005E7747" w:rsidRDefault="005E7747">
      <w:pPr>
        <w:jc w:val="center"/>
      </w:pPr>
    </w:p>
    <w:p w:rsidR="005E7747" w:rsidRDefault="00256D0D">
      <w:r>
        <w:t xml:space="preserve">               </w:t>
      </w:r>
    </w:p>
    <w:p w:rsidR="005E7747" w:rsidRDefault="005E7747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E7747" w:rsidRDefault="005E7747"/>
    <w:sectPr w:rsidR="005E7747">
      <w:pgSz w:w="11906" w:h="16838"/>
      <w:pgMar w:top="1327" w:right="1310" w:bottom="1327" w:left="131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5A3940"/>
    <w:multiLevelType w:val="singleLevel"/>
    <w:tmpl w:val="D15A394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E2A110B7"/>
    <w:multiLevelType w:val="singleLevel"/>
    <w:tmpl w:val="E2A110B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B1C56"/>
    <w:rsid w:val="00256D0D"/>
    <w:rsid w:val="005E7747"/>
    <w:rsid w:val="0C5E7E04"/>
    <w:rsid w:val="114C72F9"/>
    <w:rsid w:val="123655D1"/>
    <w:rsid w:val="15A360BE"/>
    <w:rsid w:val="16783FBC"/>
    <w:rsid w:val="16F31E48"/>
    <w:rsid w:val="191E79DD"/>
    <w:rsid w:val="2269077D"/>
    <w:rsid w:val="262C24C8"/>
    <w:rsid w:val="30151D60"/>
    <w:rsid w:val="350B763E"/>
    <w:rsid w:val="3B6308C0"/>
    <w:rsid w:val="41455220"/>
    <w:rsid w:val="42900E36"/>
    <w:rsid w:val="44AF435B"/>
    <w:rsid w:val="4CF3728F"/>
    <w:rsid w:val="4E622717"/>
    <w:rsid w:val="4F2E6EED"/>
    <w:rsid w:val="54392FDD"/>
    <w:rsid w:val="54DF23C3"/>
    <w:rsid w:val="55E72D30"/>
    <w:rsid w:val="57100146"/>
    <w:rsid w:val="575865F2"/>
    <w:rsid w:val="5951316C"/>
    <w:rsid w:val="5E0D10E6"/>
    <w:rsid w:val="5EAB2EE8"/>
    <w:rsid w:val="60E25970"/>
    <w:rsid w:val="62C251AE"/>
    <w:rsid w:val="63871AFE"/>
    <w:rsid w:val="672E243C"/>
    <w:rsid w:val="68902109"/>
    <w:rsid w:val="698A4647"/>
    <w:rsid w:val="698E34B5"/>
    <w:rsid w:val="69BC2378"/>
    <w:rsid w:val="6C587297"/>
    <w:rsid w:val="6C6B1C56"/>
    <w:rsid w:val="6CCB3F2E"/>
    <w:rsid w:val="6FD959A4"/>
    <w:rsid w:val="709D53A4"/>
    <w:rsid w:val="72BF468A"/>
    <w:rsid w:val="74B14DC6"/>
    <w:rsid w:val="785D440A"/>
    <w:rsid w:val="78FD045C"/>
    <w:rsid w:val="7AB00BA0"/>
    <w:rsid w:val="7CA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CC247B-1108-4C36-A154-510A2CB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P R 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</dc:creator>
  <cp:lastModifiedBy>Windows User</cp:lastModifiedBy>
  <cp:revision>2</cp:revision>
  <dcterms:created xsi:type="dcterms:W3CDTF">2020-10-16T05:29:00Z</dcterms:created>
  <dcterms:modified xsi:type="dcterms:W3CDTF">2020-10-16T05:29:00Z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