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pStyle w:val="5"/>
        <w:widowControl/>
        <w:wordWrap w:val="0"/>
        <w:ind w:left="1959" w:leftChars="266" w:hanging="1400" w:hangingChars="5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“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面向教育现代化2035 提升学校治理能力和水平</w:t>
      </w:r>
      <w:r>
        <w:rPr>
          <w:rFonts w:hint="eastAsia" w:ascii="黑体" w:hAnsi="黑体" w:eastAsia="黑体" w:cs="黑体"/>
          <w:sz w:val="28"/>
          <w:szCs w:val="28"/>
        </w:rPr>
        <w:t>”</w:t>
      </w:r>
    </w:p>
    <w:p>
      <w:pPr>
        <w:pStyle w:val="5"/>
        <w:widowControl/>
        <w:wordWrap w:val="0"/>
        <w:ind w:left="1959" w:leftChars="266" w:hanging="1400" w:hangingChars="5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专题网络培训课程列表</w:t>
      </w:r>
    </w:p>
    <w:p>
      <w:pPr>
        <w:spacing w:after="156" w:afterLines="50"/>
        <w:ind w:firstLine="42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（共提供65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选学完成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2学时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5分钟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/学时）</w:t>
      </w:r>
    </w:p>
    <w:tbl>
      <w:tblPr>
        <w:tblStyle w:val="7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66"/>
        <w:gridCol w:w="97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7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单位名称及职务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政策理念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b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落实十九大精神，推进学校道德教育与法治教育的融合与创新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王大泉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教育部政策法规司副司长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" w:lineRule="atLeast"/>
              <w:ind w:left="0" w:leftChars="0" w:firstLine="0" w:firstLineChars="0"/>
              <w:textAlignment w:val="auto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21"/>
                <w:szCs w:val="21"/>
                <w:lang w:val="en-US" w:eastAsia="zh-CN" w:bidi="ar-SA"/>
              </w:rPr>
              <w:t>开辟“中国之治”新境界——十九届四中全会总体精神解读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许耀桐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中共中央党校教授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深入学习贯彻党的十九届四中全会精神，推进教育治理体系和治理能力现代化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张  力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教育部教育发展研究中心原主任，国家教育咨询委员会秘书长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国家治理现代化的中国道路与探索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刘  鹏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中国人民大学公共管理学院教授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法治中国与治理体系现代化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陈冬生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中共中央党校马克思主义理论教研部教授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教育现代化2035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以习近平新时代中国特色社会主义思想为指导，加快推进教育现代化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杨银付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中国教育学会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秘书处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加快教育现代化的战略思考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王  烽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教育部国家教育发展研究中心首席专家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《中国教育现代化2035》——新时代·新目标·新征程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高书国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中国教育学会副秘书长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b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以信息化促进教育现代化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杨宗凯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华中师范大学校长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什么是教育现代化？2035年我们要设计和描绘什么样的教育现代化？——学习体会和认识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张</w:t>
            </w: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44"/>
                <w:szCs w:val="21"/>
              </w:rPr>
              <w:t>钰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上海教育科学研究院副院长、研究员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东部沿海及发达地区2035年的教育现代化愿景——学习体会和认识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张</w:t>
            </w: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44"/>
                <w:szCs w:val="21"/>
              </w:rPr>
              <w:t>钰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上海教育科学研究院副院长、研究员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b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关于加快推进基础教育现代化的思考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张志勇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依法办学与依法治校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落实六中全会精神 全面推进依法治教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孙霄兵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教育部政策法规司原司长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b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全面推进依法治教，构建教育管理新格局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王大泉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教育部政策法规司副司长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互联网时代教育法治化的探索与思考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刘云生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重庆市教育委员会政策法规处处长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校园欺凌分析与预防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石连海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</w:rPr>
              <w:t>国家教育行政学院副教授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中小学安全事故法律实务分析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hint="default" w:ascii="仿宋" w:hAnsi="仿宋" w:eastAsia="仿宋" w:cs="仿宋"/>
                <w:kern w:val="4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4"/>
                <w:szCs w:val="21"/>
                <w:lang w:val="en-US" w:eastAsia="zh-CN"/>
              </w:rPr>
              <w:t>柳翔浩</w:t>
            </w:r>
          </w:p>
        </w:tc>
        <w:tc>
          <w:tcPr>
            <w:tcW w:w="35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 w:line="23" w:lineRule="atLeast"/>
              <w:ind w:left="0" w:leftChars="0" w:firstLine="0" w:firstLineChars="0"/>
              <w:rPr>
                <w:rFonts w:ascii="仿宋" w:hAnsi="仿宋" w:eastAsia="仿宋" w:cs="仿宋"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44"/>
                <w:sz w:val="21"/>
                <w:szCs w:val="21"/>
                <w:lang w:val="en-US" w:eastAsia="zh-CN" w:bidi="ar-SA"/>
              </w:rPr>
              <w:t>中国人民警察大学二级警督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治理体系与现代学校制度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学校治理机制的基本认识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刘博文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北京教育学院教育管理与心理学院讲师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现代学校制度建设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曲黎明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山东省青岛市教育局副局长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新高考背景下学校变革的治理机制重构之制度机制与激励机制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刘博文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北京教育学院教育管理与心理学院讲师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新高考背景下学校变革的治理机制重构之动力机制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刘博文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北京教育学院讲师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新高考背景下学校变革的治理机制重构之实施机制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刘博文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北京教育学院讲师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治理现代化实践创新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新素质教育的实践与探索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王水发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深圳市教育局党组成员、副局长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考试评价改革与区域教育管理创新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张国华</w:t>
            </w:r>
          </w:p>
        </w:tc>
        <w:tc>
          <w:tcPr>
            <w:tcW w:w="3540" w:type="dxa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教育部基础教育课程教材发展中心副主任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教育现代化背景下的萧山样本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夏国良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浙江省杭州市萧山区教育局副局长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网络形式下的家校合作与共同体建设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戴  荔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山东曲阜市济宁学院第二附属小学高级教师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国际理念 国际标准 打造教育国际化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蔡  曼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深圳市龙华新区潜龙学校校长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校长领导力与学校发展</w:t>
            </w: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"https://study.enaea.edu.cn/kecheng/detail_282274" \t "_blank" \o "强化重大风险管理，提升教育治理能力"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kern w:val="0"/>
                <w:szCs w:val="21"/>
              </w:rPr>
              <w:t>强化重大风险管理，提升教育治理能力</w:t>
            </w:r>
            <w:r>
              <w:rPr>
                <w:rFonts w:ascii="仿宋" w:hAnsi="仿宋" w:eastAsia="仿宋" w:cs="仿宋"/>
                <w:kern w:val="0"/>
                <w:szCs w:val="21"/>
              </w:rPr>
              <w:fldChar w:fldCharType="end"/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王保华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中国传媒大学高教传媒与舆情监测研究中心主任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提升中小学校长领导力的策略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赵德成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北京师范大学教育管理学院副院长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基于标准的校长领导力提升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  俭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教育部中学校长培训中心人力资源开发研究室主任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中小学校长实践智慧与理论素养提升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王建宗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中国教育学会中小学整体改革专业委员会学术委员会主任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校长专业素养与学校特色发展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王俊莉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甘肃省兰州市七里河区七里河小学校长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6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outlineLvl w:val="0"/>
              <w:rPr>
                <w:rFonts w:ascii="仿宋" w:hAnsi="仿宋" w:eastAsia="仿宋" w:cs="仿宋"/>
                <w:b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小学校长现代治理能力提升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左  鹏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湖南省长沙市高新区明德麓谷学校副校长</w:t>
            </w:r>
          </w:p>
        </w:tc>
      </w:tr>
    </w:tbl>
    <w:p>
      <w:pPr>
        <w:spacing w:before="156" w:beforeLines="50"/>
        <w:ind w:firstLine="0" w:firstLineChars="0"/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备注：1.个别课程或稍有调整，请以平台最终发布课程为准；</w:t>
      </w:r>
    </w:p>
    <w:p>
      <w:pPr>
        <w:ind w:firstLine="660" w:firstLineChars="300"/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2.课程主讲人职务为课程录制时的职务。</w:t>
      </w:r>
    </w:p>
    <w:p>
      <w:pPr>
        <w:ind w:firstLine="42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2020-10-19T08:29:14Z</dcterms:created>
  <dc:creator>user</dc:creator>
  <cp:lastModifiedBy>user</cp:lastModifiedBy>
  <dcterms:modified xsi:type="dcterms:W3CDTF">2020-10-19T08:29:38Z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