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kern w:val="44"/>
          <w:sz w:val="30"/>
          <w:szCs w:val="30"/>
        </w:rPr>
      </w:pPr>
      <w:r>
        <w:rPr>
          <w:rFonts w:hint="eastAsia" w:ascii="Times New Roman" w:hAnsi="Times New Roman" w:eastAsia="黑体" w:cs="黑体"/>
          <w:kern w:val="44"/>
          <w:sz w:val="30"/>
          <w:szCs w:val="30"/>
        </w:rPr>
        <w:t>附件1</w:t>
      </w:r>
    </w:p>
    <w:p>
      <w:pPr>
        <w:widowControl/>
        <w:jc w:val="center"/>
        <w:rPr>
          <w:rFonts w:ascii="Times New Roman" w:hAnsi="Times New Roman" w:eastAsia="方正小标宋简体" w:cs="黑体"/>
          <w:kern w:val="44"/>
          <w:sz w:val="36"/>
          <w:szCs w:val="36"/>
        </w:rPr>
      </w:pPr>
      <w:bookmarkStart w:id="0" w:name="_Hlk44236779"/>
      <w:r>
        <w:rPr>
          <w:rFonts w:hint="eastAsia" w:ascii="Times New Roman" w:hAnsi="Times New Roman" w:eastAsia="方正小标宋简体" w:cs="黑体"/>
          <w:kern w:val="44"/>
          <w:sz w:val="36"/>
          <w:szCs w:val="36"/>
        </w:rPr>
        <w:t>打造大学“金课”建设一流本科课程</w:t>
      </w:r>
    </w:p>
    <w:p>
      <w:pPr>
        <w:widowControl/>
        <w:jc w:val="center"/>
        <w:rPr>
          <w:rFonts w:ascii="Times New Roman" w:hAnsi="Times New Roman" w:eastAsia="方正小标宋简体" w:cs="黑体"/>
          <w:kern w:val="44"/>
          <w:sz w:val="36"/>
          <w:szCs w:val="36"/>
        </w:rPr>
      </w:pPr>
      <w:r>
        <w:rPr>
          <w:rFonts w:hint="eastAsia" w:ascii="Times New Roman" w:hAnsi="Times New Roman" w:eastAsia="方正小标宋简体" w:cs="黑体"/>
          <w:kern w:val="44"/>
          <w:sz w:val="36"/>
          <w:szCs w:val="36"/>
        </w:rPr>
        <w:t>专题网络培训课程列表</w:t>
      </w:r>
    </w:p>
    <w:tbl>
      <w:tblPr>
        <w:tblStyle w:val="4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883"/>
        <w:gridCol w:w="1026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8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“金课”的基本范式</w:t>
            </w: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"https://study.enaea.edu.cn/kecheng/detail_279046" \t "_blank" \o "OBE教育教学理念简介"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OBE教育教学理念简介</w:t>
            </w: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郭江峰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浙江理工大学教学发展中心主任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高校金课的基本范式——以学生为中心的教法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李丹青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浙江大学工程师学院教授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高校金课的基本范式——以学生为中心的学法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李丹青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浙江大学工程师学院教授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高校金课建设的顶层设计——人才培养体系和课程地图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戚世梁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西安欧亚学院教师发展中心主任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ascii="Times New Roman" w:hAnsi="Times New Roman" w:eastAsia="仿宋_GB2312" w:cs="仿宋"/>
                <w:sz w:val="24"/>
                <w:szCs w:val="24"/>
              </w:rPr>
              <w:t>金课落地的关键：考试与学习评价创新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邹方东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四川大学教授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“金课”的支撑理论</w:t>
            </w: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金课的基本特征与脑科学原理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王  珏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华中师范大学研究员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金课的脑科学原理1——以意义感为前提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王  珏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华中师范大学研究员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金课的脑科学原理2——以幽默悬念为武器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王  珏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华中师范大学研究员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金课背后的心理学理论——走出心理舒适区原则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李  芳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对外经贸大学副研究员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金课背后的沟通理论——第一教育法则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李  芳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对外经贸大学副研究员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“金课”的建设方法</w:t>
            </w: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高校金课的设计与开发——OBE导向的反向课程设计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戚世梁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西安欧亚学教师发展中心主任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"https://study.enaea.edu.cn/kecheng/detail_279044" \t "_blank" \o "OBE理念下教与学的实施"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OBE理念下教与学的实施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fldChar w:fldCharType="end"/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郭江峰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浙江理工大学教学发展中心主任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高校金课设计的实操文本--高水平人才培养方案的设计、编写与修订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郭建校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天津外国语大学国际商学院院长、教授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高校金课设计实操文本——高水平课程教学大纲的设计、撰写与诊断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李  芳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对外经贸大学副研究员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高校金课的环境建设——高校金课如何建构智慧教学新场景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周华丽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北京联合大学研究员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一流课程的设计与申报</w:t>
            </w: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一流本科课程建设与申报政策解读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余建波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上海交通大学慕课研究院院长助理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一流课程申报材料撰写与案例分享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余建波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上海交通大学慕课研究院院长助理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五类一流课程的教学设计要点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余建波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上海交通大学慕课研究院院长助理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一流课程申报经验与技巧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余建波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上海交通大学慕课研究院院长助理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仿宋"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>
            <w:pPr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</w:rPr>
              <w:t>线上线下混合式一流课程的建设与申报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余建波</w:t>
            </w:r>
          </w:p>
        </w:tc>
        <w:tc>
          <w:tcPr>
            <w:tcW w:w="367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上海交通大学慕课研究院院长助理</w:t>
            </w:r>
          </w:p>
        </w:tc>
      </w:tr>
      <w:bookmarkEnd w:id="0"/>
    </w:tbl>
    <w:p>
      <w:pPr>
        <w:spacing w:before="156" w:beforeLines="50"/>
        <w:rPr>
          <w:rFonts w:ascii="Times New Roman" w:hAnsi="Times New Roman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说明：1.实施中个别课程或稍有调整，请以平台最终发布课程为准；</w:t>
      </w:r>
    </w:p>
    <w:p>
      <w:pPr>
        <w:pStyle w:val="6"/>
        <w:tabs>
          <w:tab w:val="left" w:pos="3119"/>
        </w:tabs>
        <w:ind w:firstLine="720" w:firstLineChars="300"/>
        <w:rPr>
          <w:rFonts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2.课程主讲人职务为课程录制时的职务。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D34F1"/>
    <w:rsid w:val="2CFD3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2020-10-21T07:27:00Z</dcterms:created>
  <dc:creator>孙赛</dc:creator>
  <cp:lastModifiedBy>孙赛</cp:lastModifiedBy>
  <dcterms:modified xsi:type="dcterms:W3CDTF">2020-10-21T07:27:38Z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