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黑体"/>
          <w:kern w:val="44"/>
          <w:sz w:val="30"/>
          <w:szCs w:val="30"/>
        </w:rPr>
      </w:pPr>
      <w:r>
        <w:rPr>
          <w:rFonts w:hint="eastAsia" w:ascii="Times New Roman" w:hAnsi="Times New Roman" w:eastAsia="黑体" w:cs="黑体"/>
          <w:kern w:val="44"/>
          <w:sz w:val="30"/>
          <w:szCs w:val="30"/>
        </w:rPr>
        <w:t>附件1</w:t>
      </w:r>
    </w:p>
    <w:p>
      <w:pPr>
        <w:widowControl/>
        <w:jc w:val="center"/>
        <w:rPr>
          <w:rFonts w:ascii="Times New Roman" w:hAnsi="Times New Roman" w:eastAsia="方正小标宋简体" w:cs="黑体"/>
          <w:kern w:val="44"/>
          <w:sz w:val="36"/>
          <w:szCs w:val="36"/>
        </w:rPr>
      </w:pPr>
      <w:bookmarkStart w:id="0" w:name="_Hlk44236779"/>
      <w:r>
        <w:rPr>
          <w:rFonts w:hint="eastAsia" w:ascii="Times New Roman" w:hAnsi="Times New Roman" w:eastAsia="方正小标宋简体" w:cs="黑体"/>
          <w:kern w:val="44"/>
          <w:sz w:val="36"/>
          <w:szCs w:val="36"/>
        </w:rPr>
        <w:t>“高校课程思政体系建设”专题网络培训课程列表</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3750"/>
        <w:gridCol w:w="950"/>
        <w:gridCol w:w="3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Align w:val="center"/>
          </w:tcPr>
          <w:p>
            <w:pPr>
              <w:widowControl/>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课程模块</w:t>
            </w:r>
          </w:p>
        </w:tc>
        <w:tc>
          <w:tcPr>
            <w:tcW w:w="3750" w:type="dxa"/>
            <w:vAlign w:val="center"/>
          </w:tcPr>
          <w:p>
            <w:pPr>
              <w:widowControl/>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课程名称</w:t>
            </w:r>
          </w:p>
        </w:tc>
        <w:tc>
          <w:tcPr>
            <w:tcW w:w="950" w:type="dxa"/>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主讲人</w:t>
            </w:r>
          </w:p>
        </w:tc>
        <w:tc>
          <w:tcPr>
            <w:tcW w:w="3122" w:type="dxa"/>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gridSpan w:val="4"/>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课程思政内容体系建设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新时代中国特色社会主义思想</w:t>
            </w:r>
          </w:p>
        </w:tc>
        <w:tc>
          <w:tcPr>
            <w:tcW w:w="3750" w:type="dxa"/>
            <w:vAlign w:val="center"/>
          </w:tcPr>
          <w:p>
            <w:pPr>
              <w:widowControl/>
              <w:shd w:val="clear" w:color="auto" w:fill="FCFCFC"/>
              <w:jc w:val="left"/>
              <w:outlineLvl w:val="0"/>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习近平新时代中国特色社会主义思想导学</w:t>
            </w:r>
          </w:p>
        </w:tc>
        <w:tc>
          <w:tcPr>
            <w:tcW w:w="9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周文彰</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国家行政学院原副院长、博士生导师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widowControl/>
              <w:shd w:val="clear" w:color="auto" w:fill="FCFCFC"/>
              <w:jc w:val="left"/>
              <w:outlineLvl w:val="0"/>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习近平新时代中国特色社会主义思想产生的历史方位和现实意义</w:t>
            </w:r>
          </w:p>
        </w:tc>
        <w:tc>
          <w:tcPr>
            <w:tcW w:w="9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洪向华</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中共中央党校（国家行政学院）科研部副巡视员、教授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深入领会科学理论体系——学习《习近平新时代中国特色社会主义思想三十讲》</w:t>
            </w:r>
          </w:p>
        </w:tc>
        <w:tc>
          <w:tcPr>
            <w:tcW w:w="9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颜晓峰</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"https://study.enaea.edu.cn/kecheng/detail_280929" \t "_blank" \o "做习近平新时代中国特色社会主义思想的坚定信仰者、忠实实践者"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做习近平新时代中国特色社会主义思想的坚定信仰者、忠实实践者</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黄相怀</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中共中央党校（国家行政学院）教授，国家高端智库学术委员会秘书长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"https://study.enaea.edu.cn/kecheng/detail_277574" \t "_blank" \o "以习近平新时代中国特色社会主义思想为指引 写好高等学校党建与思政工作奋进之笔"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以习近平新时代中国特色社会主义思想为指引 写好高等学校党建与思政工作奋进之笔</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王光彦</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教育部思想政治工作司副司长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社会主义核心价值观</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社会主义核心价值观：我们共同的追求，共同的坚守</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李君如</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中共中央党校原副校长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培育践行社会主义核心价值观是新形势下加强高校党建和思想政治教育工作的根本任务</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王光彦</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教育部思想政治工作司副司长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在经受考验中坚守精神的高地——感悟社会主义核心价值观的熔铸和打造</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丁晓兵</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武警广西总队政委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社会主义核心价值观与当代中国主流意识形态建设</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侯惠勤</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安徽大学马克思主义研究院院长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文化自信与社会主义核心价值观建设</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 xml:space="preserve">张 </w:t>
            </w:r>
            <w:r>
              <w:rPr>
                <w:rFonts w:ascii="Times New Roman" w:hAnsi="Times New Roman" w:eastAsia="仿宋_GB2312" w:cs="仿宋"/>
                <w:color w:val="000000" w:themeColor="text1"/>
                <w:kern w:val="0"/>
                <w:sz w:val="24"/>
                <w:szCs w:val="24"/>
                <w14:textFill>
                  <w14:solidFill>
                    <w14:schemeClr w14:val="tx1"/>
                  </w14:solidFill>
                </w14:textFill>
              </w:rPr>
              <w:t xml:space="preserve"> </w:t>
            </w:r>
            <w:r>
              <w:rPr>
                <w:rFonts w:hint="eastAsia" w:ascii="Times New Roman" w:hAnsi="Times New Roman" w:eastAsia="仿宋_GB2312" w:cs="仿宋"/>
                <w:color w:val="000000" w:themeColor="text1"/>
                <w:kern w:val="0"/>
                <w:sz w:val="24"/>
                <w:szCs w:val="24"/>
                <w14:textFill>
                  <w14:solidFill>
                    <w14:schemeClr w14:val="tx1"/>
                  </w14:solidFill>
                </w14:textFill>
              </w:rPr>
              <w:t>军</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中共中央党校（国家教育行政学院）文史教研部副主任，教授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中华优秀传统文化</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"https://study.enaea.edu.cn/kecheng/detail_279334" \t "_blank" \o "核心价值观必须立足中华优秀传统文化"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核心价值观必须立足中华优秀传统文化</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李汉秋</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著名人文学家、连续4届全国政协委员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"https://study.enaea.edu.cn/kecheng/detail_279459" \t "_blank" \o "中国传统文化的智慧"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中国传统文化的智慧</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楼宇烈</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北京大学哲学系教授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"https://study.enaea.edu.cn/kecheng/detail_279204" \t "_blank" \o "发掘传统文化资源，充实价值认知"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发掘传统文化资源，充实价值认知</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  蒙</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中国当代作家、学者，中国作家协会名誉主席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"https://study.enaea.edu.cn/kecheng/detail_278715" \t "_blank" \o "扎根中国传统文化办教育"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扎根中国传统文化办教育</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吴国通</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中国教育学会学术委员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如何实现中华优秀传统文化创造性转化、创新性发展</w:t>
            </w:r>
          </w:p>
          <w:p>
            <w:pPr>
              <w:rPr>
                <w:rFonts w:ascii="Times New Roman" w:hAnsi="Times New Roman" w:eastAsia="仿宋_GB2312" w:cs="仿宋"/>
                <w:color w:val="000000" w:themeColor="text1"/>
                <w:kern w:val="0"/>
                <w:sz w:val="24"/>
                <w:szCs w:val="24"/>
                <w14:textFill>
                  <w14:solidFill>
                    <w14:schemeClr w14:val="tx1"/>
                  </w14:solidFill>
                </w14:textFill>
              </w:rPr>
            </w:pP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齐勇锋</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中国传媒大学文化发展研究院学术委员会主任，研究员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宪法精神与教育法治</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"https://study.enaea.edu.cn/kecheng/detail_281780" \t "_blank" \o "为什么要学宪法"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为什么要学宪法</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r>
              <w:rPr>
                <w:rFonts w:hint="eastAsia" w:ascii="Times New Roman" w:hAnsi="Times New Roman" w:eastAsia="仿宋_GB2312" w:cs="仿宋"/>
                <w:color w:val="000000" w:themeColor="text1"/>
                <w:kern w:val="0"/>
                <w:sz w:val="24"/>
                <w:szCs w:val="24"/>
                <w14:textFill>
                  <w14:solidFill>
                    <w14:schemeClr w14:val="tx1"/>
                  </w14:solidFill>
                </w14:textFill>
              </w:rPr>
              <w:t>系列微课14讲</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微  课</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"https://study.enaea.edu.cn/kecheng/detail_278275" \t "_blank" \o "《宪法》及相关法律知识解读"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《宪法》及相关法律知识解读</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赵  玄</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国家教育行政学院助理研究员，北京大学法学博士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"https://study.enaea.edu.cn/kecheng/detail_272484" \t "_blank" \o "树立宪法观念，推进依法治校"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树立宪法观念，推进依法治校</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韩大元</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现任中国人民大学法学院院长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"https://study.enaea.edu.cn/kecheng/detail_278434" \t "_blank" \o "《高等教育法》与依法治校"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《高等教育法》与依法治校</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王大泉</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教育部法制办公室副主任，北京法学会教育法学研究会副会长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pStyle w:val="2"/>
              <w:shd w:val="clear" w:color="auto" w:fill="FCFCFC"/>
              <w:spacing w:before="0" w:beforeAutospacing="0" w:after="0" w:afterAutospacing="0"/>
              <w:outlineLvl w:val="0"/>
              <w:rPr>
                <w:rFonts w:ascii="Times New Roman" w:hAnsi="Times New Roman" w:eastAsia="仿宋_GB2312" w:cs="仿宋"/>
                <w:color w:val="000000" w:themeColor="text1"/>
                <w:sz w:val="24"/>
                <w:szCs w:val="24"/>
                <w14:textFill>
                  <w14:solidFill>
                    <w14:schemeClr w14:val="tx1"/>
                  </w14:solidFill>
                </w14:textFill>
              </w:rPr>
            </w:pPr>
            <w:r>
              <w:rPr>
                <w:rFonts w:hint="eastAsia" w:ascii="Times New Roman" w:hAnsi="Times New Roman" w:eastAsia="仿宋_GB2312" w:cs="仿宋"/>
                <w:b w:val="0"/>
                <w:bCs w:val="0"/>
                <w:color w:val="000000" w:themeColor="text1"/>
                <w:kern w:val="0"/>
                <w:sz w:val="24"/>
                <w:szCs w:val="24"/>
                <w14:textFill>
                  <w14:solidFill>
                    <w14:schemeClr w14:val="tx1"/>
                  </w14:solidFill>
                </w14:textFill>
              </w:rPr>
              <w:t>大学治理与依法治校</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王敬波</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中国政法大学教授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职业理想和职业道德</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时代的期望与教师的担当</w:t>
            </w:r>
          </w:p>
        </w:tc>
        <w:tc>
          <w:tcPr>
            <w:tcW w:w="950" w:type="dxa"/>
            <w:vAlign w:val="center"/>
          </w:tcPr>
          <w:p>
            <w:pPr>
              <w:jc w:val="center"/>
              <w:rPr>
                <w:rFonts w:ascii="Times New Roman" w:hAnsi="Times New Roman" w:eastAsia="仿宋_GB2312" w:cs="仿宋"/>
                <w:color w:val="000000" w:themeColor="text1"/>
                <w:kern w:val="0"/>
                <w:sz w:val="24"/>
                <w:szCs w:val="24"/>
                <w:shd w:val="clear" w:color="auto" w:fill="F7F7F7"/>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骆承烈</w:t>
            </w:r>
          </w:p>
        </w:tc>
        <w:tc>
          <w:tcPr>
            <w:tcW w:w="3122" w:type="dxa"/>
            <w:vAlign w:val="center"/>
          </w:tcPr>
          <w:p>
            <w:pPr>
              <w:rPr>
                <w:rFonts w:ascii="Times New Roman" w:hAnsi="Times New Roman" w:eastAsia="仿宋_GB2312" w:cs="仿宋"/>
                <w:color w:val="000000" w:themeColor="text1"/>
                <w:kern w:val="0"/>
                <w:sz w:val="24"/>
                <w:szCs w:val="24"/>
                <w:shd w:val="clear" w:color="auto" w:fill="FCFCFC"/>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山东省曲阜师范大学孔子文化学院副院长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做国家和人民满意的人民教师——谈教学方法艺术及教师师德师风</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张学政</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清华大学教授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从史学精神看高校教师人文素质提升——从求学生涯和我的老师们谈起</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朱孝远</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如何做一个温暖的老师</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路丙辉</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安徽师范大学政治学院教授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"https://study.enaea.edu.cn/kecheng/detail_282503" \t "_blank" \o "疫情时期教师的生命意义和使命担当"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疫情时期教师的生命意义和使命担当</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姚小玲</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北京航空航天大学教授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gridSpan w:val="4"/>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课程思政教学体系建设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立德树人与核心素养培育</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不忘育人初心 提升从业境界</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李丹青</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浙江大学教授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实施“三全育人”，提升学生APLIC核心素养</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邱化民</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北京师范大学教育学部学生办公室主任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现代大学理念与高素质人才培养</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龚  克</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南开大学原校长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专业教育中如何实现思政育人</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 xml:space="preserve">破解专业课教师的“课程思政之惑” </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夏永林</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西安电子科技大学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专业课教师做好课程思政建设的12345</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李侃侃</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西北农林科技大学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提升育德意识 创新课程思政——关于专业课课程思政的一些思考</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刘道平</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上海理工大学党委副书记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专业课程融入思政工作的教学设计理念与方法</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于歆杰</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清华大学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课程思政如何融入课堂教学过程</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各类课程与思政课同向同行</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吴  强</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上海科技大学纪委书记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“思政课程”到“课程思政” 同向同行 合力育人</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马前锋</w:t>
            </w:r>
          </w:p>
        </w:tc>
        <w:tc>
          <w:tcPr>
            <w:tcW w:w="3122"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上海出版印刷高等专科学校教授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如何转变思想，上好一堂课程思政专业课</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张晓东</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上海理工大学副教授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"https://study.enaea.edu.cn/kecheng/detail_282024" \t "_blank"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“课程思政”教学设计与实施</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李赛强</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山东大学教学促进与教师发展中心副主任、教授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文科类课程思政建设的几点思考</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姚小玲</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北京航空航天大学教授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明理、悟道、育新任——物理教学中贯彻“课程思政”理念的思考</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施大宁</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南京航空航天大学副校长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《大学生学习指导》课的思政元素与育人效果</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李丹青</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浙江大学教授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一堂有温度的生命大课——浅谈解剖学专业课程思政建设</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崔怀瑞</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温州医科大学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实验实践课程育人与知行合一</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"https://study.enaea.edu.cn/kecheng/detail_270885" \t "_blank" \o "构建社会实践教育平台，发挥社会实践育人功能"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构建社会实践教育平台，发挥社会实践育人功能</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陆  凯</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大连理工大学团委书记兼团校校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"https://study.enaea.edu.cn/kecheng/detail_278603" \t "_blank" \o "创新创业教育与协同育人的实践探索"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创新创业教育与协同育人的实践探索</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马连湘</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青岛科技大学校长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思政育人重点课程建设</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如何打造既有意思又有意义的思政课？</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王雪超</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天津师范大学马克思主义学院教授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把握思政课教师教学能力的结构与核心</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王能东</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武汉理工大学马克思主义学院党委书记、教授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“思想道德修养与法律基础”魅力课堂的实践与思考</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曾咏辉</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长江师范学院马克思主义学院教授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高校思想政治理论课教学改革的探索——以“中国近现代史纲要”课程为例</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雷江梅</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武汉理工大学马克思主义学院教授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"https://study.enaea.edu.cn/kecheng/detail_276996" \t "_blank" \o "最关爱学生的思政课——丽水学院思想政治理论课综合改革"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最关爱学生的思政课——丽水学院思想政治理论课综合改革</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彭  兵</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丽水学院思想政治理论课教学部主任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gridSpan w:val="4"/>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课程思政工作体系建设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课程思政工作顶层规划</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课程思政的认识，实践与思考——北京联合大学的实践经验</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韩宪洲</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北京联合大学党委书记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ascii="Times New Roman" w:hAnsi="Times New Roman" w:eastAsia="仿宋_GB2312" w:cs="仿宋"/>
                <w:color w:val="000000" w:themeColor="text1"/>
                <w:kern w:val="0"/>
                <w:sz w:val="24"/>
                <w:szCs w:val="24"/>
                <w14:textFill>
                  <w14:solidFill>
                    <w14:schemeClr w14:val="tx1"/>
                  </w14:solidFill>
                </w14:textFill>
              </w:rPr>
              <w:t>课程思政生态体系的构建---以西南大学为例</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吴能表</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西南大学教务处长、教授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ascii="Times New Roman" w:hAnsi="Times New Roman" w:eastAsia="仿宋_GB2312" w:cs="仿宋"/>
                <w:color w:val="000000" w:themeColor="text1"/>
                <w:kern w:val="0"/>
                <w:sz w:val="24"/>
                <w:szCs w:val="24"/>
                <w14:textFill>
                  <w14:solidFill>
                    <w14:schemeClr w14:val="tx1"/>
                  </w14:solidFill>
                </w14:textFill>
              </w:rPr>
              <w:t>高校课程思政的工作体系建设经验——以重庆大学启航计划为例</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李正良</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重庆大学教务处长、教授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restart"/>
            <w:vAlign w:val="center"/>
          </w:tcPr>
          <w:p>
            <w:pPr>
              <w:jc w:val="center"/>
              <w:rPr>
                <w:rFonts w:ascii="Times New Roman" w:hAnsi="Times New Roman" w:eastAsia="仿宋_GB2312" w:cs="仿宋"/>
                <w:b/>
                <w:bCs/>
                <w:color w:val="000000" w:themeColor="text1"/>
                <w:kern w:val="0"/>
                <w:sz w:val="24"/>
                <w:szCs w:val="24"/>
                <w14:textFill>
                  <w14:solidFill>
                    <w14:schemeClr w14:val="tx1"/>
                  </w14:solidFill>
                </w14:textFill>
              </w:rPr>
            </w:pPr>
            <w:r>
              <w:rPr>
                <w:rFonts w:hint="eastAsia" w:ascii="Times New Roman" w:hAnsi="Times New Roman" w:eastAsia="仿宋_GB2312" w:cs="仿宋"/>
                <w:b/>
                <w:bCs/>
                <w:color w:val="000000" w:themeColor="text1"/>
                <w:kern w:val="0"/>
                <w:sz w:val="24"/>
                <w:szCs w:val="24"/>
                <w14:textFill>
                  <w14:solidFill>
                    <w14:schemeClr w14:val="tx1"/>
                  </w14:solidFill>
                </w14:textFill>
              </w:rPr>
              <w:t>思政教师队伍建设</w:t>
            </w: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有效增强教学影响力：思政课教师最基本的教学能力</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王能东</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武汉理工大学马克思主义学院党委书记、教授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fldChar w:fldCharType="begin"/>
            </w:r>
            <w:r>
              <w:instrText xml:space="preserve"> HYPERLINK "https://study.enaea.edu.cn/kecheng/detail_282692" \t "_blank" \o "课程思政工作对师德师风建设的促进作用" </w:instrText>
            </w:r>
            <w:r>
              <w:fldChar w:fldCharType="separate"/>
            </w:r>
            <w:r>
              <w:rPr>
                <w:rFonts w:hint="eastAsia" w:ascii="Times New Roman" w:hAnsi="Times New Roman" w:eastAsia="仿宋_GB2312" w:cs="仿宋"/>
                <w:color w:val="000000" w:themeColor="text1"/>
                <w:kern w:val="0"/>
                <w:sz w:val="24"/>
                <w:szCs w:val="24"/>
                <w14:textFill>
                  <w14:solidFill>
                    <w14:schemeClr w14:val="tx1"/>
                  </w14:solidFill>
                </w14:textFill>
              </w:rPr>
              <w:t>课程思政工作对师德师风建设的促进作用</w:t>
            </w:r>
            <w:r>
              <w:rPr>
                <w:rFonts w:hint="eastAsia" w:ascii="Times New Roman" w:hAnsi="Times New Roman" w:eastAsia="仿宋_GB2312" w:cs="仿宋"/>
                <w:color w:val="000000" w:themeColor="text1"/>
                <w:kern w:val="0"/>
                <w:sz w:val="24"/>
                <w:szCs w:val="24"/>
                <w14:textFill>
                  <w14:solidFill>
                    <w14:schemeClr w14:val="tx1"/>
                  </w14:solidFill>
                </w14:textFill>
              </w:rPr>
              <w:fldChar w:fldCharType="end"/>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张黎声</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上海中医药大学教授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Merge w:val="continue"/>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p>
        </w:tc>
        <w:tc>
          <w:tcPr>
            <w:tcW w:w="3750" w:type="dxa"/>
            <w:vAlign w:val="center"/>
          </w:tcPr>
          <w:p>
            <w:pP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提升思政课教师组织运用学科专业知识服务教学目标的能力</w:t>
            </w:r>
          </w:p>
        </w:tc>
        <w:tc>
          <w:tcPr>
            <w:tcW w:w="950" w:type="dxa"/>
            <w:vAlign w:val="center"/>
          </w:tcPr>
          <w:p>
            <w:pPr>
              <w:jc w:val="center"/>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王能东</w:t>
            </w:r>
          </w:p>
        </w:tc>
        <w:tc>
          <w:tcPr>
            <w:tcW w:w="3122" w:type="dxa"/>
            <w:vAlign w:val="center"/>
          </w:tcPr>
          <w:p>
            <w:pPr>
              <w:jc w:val="left"/>
              <w:rPr>
                <w:rFonts w:ascii="Times New Roman" w:hAnsi="Times New Roman" w:eastAsia="仿宋_GB2312" w:cs="仿宋"/>
                <w:color w:val="000000" w:themeColor="text1"/>
                <w:kern w:val="0"/>
                <w:sz w:val="24"/>
                <w:szCs w:val="24"/>
                <w14:textFill>
                  <w14:solidFill>
                    <w14:schemeClr w14:val="tx1"/>
                  </w14:solidFill>
                </w14:textFill>
              </w:rPr>
            </w:pPr>
            <w:r>
              <w:rPr>
                <w:rFonts w:hint="eastAsia" w:ascii="Times New Roman" w:hAnsi="Times New Roman" w:eastAsia="仿宋_GB2312" w:cs="仿宋"/>
                <w:color w:val="000000" w:themeColor="text1"/>
                <w:kern w:val="0"/>
                <w:sz w:val="24"/>
                <w:szCs w:val="24"/>
                <w14:textFill>
                  <w14:solidFill>
                    <w14:schemeClr w14:val="tx1"/>
                  </w14:solidFill>
                </w14:textFill>
              </w:rPr>
              <w:t>武汉理工大学马克思主义学院党委书记、教授</w:t>
            </w:r>
          </w:p>
        </w:tc>
      </w:tr>
      <w:bookmarkEnd w:id="0"/>
    </w:tbl>
    <w:p>
      <w:pPr>
        <w:spacing w:before="156" w:beforeLines="50"/>
        <w:rPr>
          <w:rFonts w:ascii="Times New Roman" w:hAnsi="Times New Roman" w:eastAsia="仿宋_GB2312" w:cs="仿宋"/>
          <w:color w:val="000000" w:themeColor="text1"/>
          <w:sz w:val="24"/>
          <w:szCs w:val="24"/>
          <w14:textFill>
            <w14:solidFill>
              <w14:schemeClr w14:val="tx1"/>
            </w14:solidFill>
          </w14:textFill>
        </w:rPr>
      </w:pPr>
      <w:r>
        <w:rPr>
          <w:rFonts w:hint="eastAsia" w:ascii="Times New Roman" w:hAnsi="Times New Roman" w:eastAsia="仿宋_GB2312" w:cs="仿宋"/>
          <w:color w:val="000000" w:themeColor="text1"/>
          <w:sz w:val="24"/>
          <w:szCs w:val="24"/>
          <w14:textFill>
            <w14:solidFill>
              <w14:schemeClr w14:val="tx1"/>
            </w14:solidFill>
          </w14:textFill>
        </w:rPr>
        <w:t>说明：1.实施中个别课程或稍有调整，请以平台最终发布课程为准；</w:t>
      </w:r>
    </w:p>
    <w:p>
      <w:pPr>
        <w:pStyle w:val="6"/>
        <w:tabs>
          <w:tab w:val="left" w:pos="3119"/>
        </w:tabs>
        <w:ind w:firstLine="720" w:firstLineChars="300"/>
      </w:pPr>
      <w:r>
        <w:rPr>
          <w:rFonts w:hint="eastAsia" w:eastAsia="仿宋_GB2312" w:cs="仿宋"/>
          <w:color w:val="000000" w:themeColor="text1"/>
          <w:sz w:val="24"/>
          <w:szCs w:val="24"/>
          <w14:textFill>
            <w14:solidFill>
              <w14:schemeClr w14:val="tx1"/>
            </w14:solidFill>
          </w14:textFill>
        </w:rPr>
        <w:t>2.课程主讲人职务为课程录制时的职务。</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A0B29"/>
    <w:rsid w:val="465A0B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2020-10-21T07:43:00Z</dcterms:created>
  <dc:creator>孙赛</dc:creator>
  <cp:lastModifiedBy>孙赛</cp:lastModifiedBy>
  <dcterms:modified xsi:type="dcterms:W3CDTF">2020-10-21T07:45:04Z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