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Times New Roman" w:eastAsia="方正小标宋简体" w:cs="方正仿宋简体"/>
          <w:sz w:val="36"/>
          <w:szCs w:val="36"/>
        </w:rPr>
      </w:pPr>
      <w:r>
        <w:rPr>
          <w:rFonts w:hint="eastAsia" w:ascii="方正小标宋简体" w:hAnsi="Times New Roman" w:eastAsia="方正小标宋简体" w:cs="方正仿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Times New Roman" w:eastAsia="方正小标宋简体" w:cs="方正仿宋简体"/>
          <w:sz w:val="36"/>
          <w:szCs w:val="36"/>
        </w:rPr>
        <w:instrText xml:space="preserve">ADDIN CNKISM.UserStyle</w:instrText>
      </w:r>
      <w:r>
        <w:rPr>
          <w:rFonts w:hint="eastAsia" w:ascii="方正小标宋简体" w:hAnsi="Times New Roman" w:eastAsia="方正小标宋简体" w:cs="方正仿宋简体"/>
          <w:sz w:val="36"/>
          <w:szCs w:val="36"/>
        </w:rPr>
        <w:fldChar w:fldCharType="end"/>
      </w:r>
      <w:r>
        <w:rPr>
          <w:rFonts w:hint="eastAsia" w:ascii="方正小标宋简体" w:hAnsi="Times New Roman" w:eastAsia="方正小标宋简体" w:cs="方正仿宋简体"/>
          <w:sz w:val="36"/>
          <w:szCs w:val="36"/>
        </w:rPr>
        <w:t>“高校课程思政体系建设”专题</w:t>
      </w:r>
    </w:p>
    <w:p>
      <w:pPr>
        <w:adjustRightInd w:val="0"/>
        <w:snapToGrid w:val="0"/>
        <w:jc w:val="center"/>
        <w:rPr>
          <w:rFonts w:ascii="方正小标宋简体" w:hAnsi="Times New Roman" w:eastAsia="方正小标宋简体" w:cs="方正仿宋简体"/>
          <w:sz w:val="36"/>
          <w:szCs w:val="36"/>
        </w:rPr>
      </w:pPr>
      <w:r>
        <w:rPr>
          <w:rFonts w:hint="eastAsia" w:ascii="方正小标宋简体" w:hAnsi="Times New Roman" w:eastAsia="方正小标宋简体" w:cs="方正仿宋简体"/>
          <w:sz w:val="36"/>
          <w:szCs w:val="36"/>
        </w:rPr>
        <w:t>网络培训实施方案</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为贯彻落实全国教育大会精神、全国高校思想政治工作会议精神以及《高等学校课程思政建设指导纲要》的指导要求，在所有高校、所有学科专业全面推进课程思政建设工作，让所有高校、所有教师、所有课程都聚焦立德树人根本任务，承担好育人责任，守好一段渠、种好责任田，使各类专业学科课程与思政课程同向同行，形成协同效应，构建全员全程全方位育人大格局，</w:t>
      </w:r>
      <w:r>
        <w:rPr>
          <w:rFonts w:hint="eastAsia" w:ascii="Times New Roman" w:hAnsi="Times New Roman" w:eastAsia="仿宋_GB2312"/>
          <w:sz w:val="30"/>
          <w:szCs w:val="30"/>
        </w:rPr>
        <w:t>经广泛调研和深入研究，国家教育行政学院决定举办</w:t>
      </w:r>
      <w:r>
        <w:rPr>
          <w:rFonts w:hint="eastAsia" w:ascii="Times New Roman" w:hAnsi="Times New Roman" w:eastAsia="仿宋_GB2312" w:cs="黑体"/>
          <w:kern w:val="36"/>
          <w:sz w:val="30"/>
          <w:szCs w:val="30"/>
        </w:rPr>
        <w:t>高校课程思政体系建设专题网络培训</w:t>
      </w:r>
      <w:r>
        <w:rPr>
          <w:rFonts w:hint="eastAsia" w:ascii="Times New Roman" w:hAnsi="Times New Roman" w:eastAsia="仿宋_GB2312"/>
          <w:sz w:val="30"/>
          <w:szCs w:val="30"/>
        </w:rPr>
        <w:t>，特制订本方案。</w:t>
      </w:r>
    </w:p>
    <w:p>
      <w:pPr>
        <w:ind w:firstLine="600" w:firstLineChars="200"/>
        <w:rPr>
          <w:rFonts w:ascii="黑体" w:hAnsi="黑体" w:eastAsia="黑体"/>
          <w:b/>
          <w:bCs/>
          <w:sz w:val="30"/>
          <w:szCs w:val="30"/>
        </w:rPr>
      </w:pPr>
      <w:bookmarkStart w:id="0" w:name="_Hlk43821388"/>
      <w:r>
        <w:rPr>
          <w:rFonts w:hint="eastAsia" w:ascii="黑体" w:hAnsi="黑体" w:eastAsia="黑体"/>
          <w:sz w:val="30"/>
          <w:szCs w:val="30"/>
        </w:rPr>
        <w:t>一、培训目标</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通过对课程思政的内容体系、教学体系和工作体系建设的全方位政策解读与实践分析，引导广大高校管理者和一线教师深入了解和准确把握课程思政应有的五大类内容体系，自觉推动课程思政内容在不同教学层级中的融合贯通和教学体现，提升课程思政队伍建设、制度建设、质量保障机制和考核评价体系的系统化的建构能力，从而进一步为本校课程思政工作的全面推进和系统落实奠定良好的工作基础。</w:t>
      </w:r>
    </w:p>
    <w:bookmarkEnd w:id="0"/>
    <w:p>
      <w:pPr>
        <w:ind w:firstLine="600" w:firstLineChars="200"/>
        <w:rPr>
          <w:rFonts w:ascii="黑体" w:hAnsi="黑体" w:eastAsia="黑体"/>
          <w:sz w:val="30"/>
          <w:szCs w:val="30"/>
        </w:rPr>
      </w:pPr>
      <w:r>
        <w:rPr>
          <w:rFonts w:hint="eastAsia" w:ascii="黑体" w:hAnsi="黑体" w:eastAsia="黑体"/>
          <w:sz w:val="30"/>
          <w:szCs w:val="30"/>
        </w:rPr>
        <w:t>二、对象时间</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高校各级管理干部。</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培训学习时长为</w:t>
      </w:r>
      <w:r>
        <w:rPr>
          <w:rFonts w:ascii="Times New Roman" w:hAnsi="Times New Roman" w:eastAsia="仿宋_GB2312" w:cs="黑体"/>
          <w:kern w:val="36"/>
          <w:sz w:val="30"/>
          <w:szCs w:val="30"/>
        </w:rPr>
        <w:t>2</w:t>
      </w:r>
      <w:r>
        <w:rPr>
          <w:rFonts w:hint="eastAsia" w:ascii="Times New Roman" w:hAnsi="Times New Roman" w:eastAsia="仿宋_GB2312" w:cs="黑体"/>
          <w:kern w:val="36"/>
          <w:sz w:val="30"/>
          <w:szCs w:val="30"/>
        </w:rPr>
        <w:t>个月，具体开班时间由参训单位与国家教育行政学院联系协商确定。</w:t>
      </w:r>
    </w:p>
    <w:p>
      <w:pPr>
        <w:ind w:firstLine="600" w:firstLineChars="200"/>
        <w:rPr>
          <w:rFonts w:ascii="黑体" w:hAnsi="黑体" w:eastAsia="黑体"/>
          <w:sz w:val="30"/>
          <w:szCs w:val="30"/>
        </w:rPr>
      </w:pPr>
      <w:r>
        <w:rPr>
          <w:rFonts w:hint="eastAsia" w:ascii="黑体" w:hAnsi="黑体" w:eastAsia="黑体"/>
          <w:sz w:val="30"/>
          <w:szCs w:val="30"/>
        </w:rPr>
        <w:t>三、内容形式</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培训分课程学习、主题研讨、成果撰写三个环节，参训学员有组织地在网上自主学习。</w:t>
      </w:r>
    </w:p>
    <w:p>
      <w:pPr>
        <w:spacing w:line="560" w:lineRule="exact"/>
        <w:ind w:firstLine="602" w:firstLineChars="200"/>
        <w:rPr>
          <w:rFonts w:ascii="Times New Roman" w:hAnsi="Times New Roman" w:eastAsia="仿宋_GB2312" w:cs="黑体"/>
          <w:kern w:val="36"/>
          <w:sz w:val="30"/>
          <w:szCs w:val="30"/>
        </w:rPr>
      </w:pPr>
      <w:r>
        <w:rPr>
          <w:rFonts w:hint="eastAsia" w:ascii="Times New Roman" w:hAnsi="Times New Roman" w:eastAsia="仿宋_GB2312" w:cs="仿宋_GB2312"/>
          <w:b/>
          <w:bCs/>
          <w:kern w:val="0"/>
          <w:sz w:val="30"/>
          <w:szCs w:val="30"/>
        </w:rPr>
        <w:t>1.</w:t>
      </w:r>
      <w:r>
        <w:rPr>
          <w:rFonts w:hint="eastAsia" w:ascii="Times New Roman" w:hAnsi="Times New Roman" w:eastAsia="仿宋_GB2312" w:cs="黑体"/>
          <w:b/>
          <w:bCs/>
          <w:kern w:val="36"/>
          <w:sz w:val="30"/>
          <w:szCs w:val="30"/>
        </w:rPr>
        <w:t>课程学习：</w:t>
      </w:r>
      <w:r>
        <w:rPr>
          <w:rFonts w:hint="eastAsia" w:ascii="Times New Roman" w:hAnsi="Times New Roman" w:eastAsia="仿宋_GB2312" w:cs="黑体"/>
          <w:kern w:val="36"/>
          <w:sz w:val="30"/>
          <w:szCs w:val="30"/>
        </w:rPr>
        <w:t>本次培训围绕课程思政内容体系、课程思政教学体系和课程思政工作体系等基本角度设计课程模块，设置具体内容（详见附件1）。参训学员需完成不少于</w:t>
      </w:r>
      <w:r>
        <w:rPr>
          <w:rFonts w:ascii="Times New Roman" w:hAnsi="Times New Roman" w:eastAsia="仿宋_GB2312" w:cs="黑体"/>
          <w:kern w:val="36"/>
          <w:sz w:val="30"/>
          <w:szCs w:val="30"/>
        </w:rPr>
        <w:t>3</w:t>
      </w:r>
      <w:r>
        <w:rPr>
          <w:rFonts w:hint="eastAsia" w:ascii="Times New Roman" w:hAnsi="Times New Roman" w:eastAsia="仿宋_GB2312" w:cs="黑体"/>
          <w:kern w:val="36"/>
          <w:sz w:val="30"/>
          <w:szCs w:val="30"/>
        </w:rPr>
        <w:t>0学时（45分钟/学时）的课程学习任务。</w:t>
      </w:r>
    </w:p>
    <w:p>
      <w:pPr>
        <w:spacing w:line="560" w:lineRule="exact"/>
        <w:ind w:firstLine="602" w:firstLineChars="200"/>
        <w:rPr>
          <w:rFonts w:ascii="Times New Roman" w:hAnsi="Times New Roman" w:eastAsia="仿宋_GB2312" w:cs="黑体"/>
          <w:kern w:val="36"/>
          <w:sz w:val="30"/>
          <w:szCs w:val="30"/>
        </w:rPr>
      </w:pPr>
      <w:r>
        <w:rPr>
          <w:rFonts w:hint="eastAsia" w:ascii="Times New Roman" w:hAnsi="Times New Roman" w:eastAsia="仿宋_GB2312" w:cs="仿宋_GB2312"/>
          <w:b/>
          <w:bCs/>
          <w:kern w:val="0"/>
          <w:sz w:val="30"/>
          <w:szCs w:val="30"/>
        </w:rPr>
        <w:t>2.主题研讨：</w:t>
      </w:r>
      <w:r>
        <w:rPr>
          <w:rFonts w:hint="eastAsia" w:ascii="Times New Roman" w:hAnsi="Times New Roman" w:eastAsia="仿宋_GB2312" w:cs="黑体"/>
          <w:kern w:val="36"/>
          <w:sz w:val="30"/>
          <w:szCs w:val="30"/>
        </w:rPr>
        <w:t>培训期间，</w:t>
      </w:r>
      <w:r>
        <w:rPr>
          <w:rFonts w:hint="eastAsia" w:ascii="Times New Roman" w:hAnsi="Times New Roman" w:eastAsia="仿宋_GB2312" w:cs="黑体"/>
          <w:sz w:val="30"/>
          <w:szCs w:val="30"/>
        </w:rPr>
        <w:t>参训学员在班级管理员的组织下，</w:t>
      </w:r>
      <w:r>
        <w:rPr>
          <w:rFonts w:hint="eastAsia" w:ascii="Times New Roman" w:hAnsi="Times New Roman" w:eastAsia="仿宋_GB2312" w:cs="黑体"/>
          <w:kern w:val="36"/>
          <w:sz w:val="30"/>
          <w:szCs w:val="30"/>
        </w:rPr>
        <w:t>围绕“本校课程思政内容体系建设情况”“本校课程思政的实践探索”“课程思政工作的制度保障与资源支持”等主题开展研讨。此外，中国教育干部网络学院论坛将设立主题研讨区，参训学员可在论坛内与全国范围内的同行进行广泛地交流与互动，分享学习体会。</w:t>
      </w:r>
    </w:p>
    <w:p>
      <w:pPr>
        <w:spacing w:line="560" w:lineRule="exact"/>
        <w:ind w:firstLine="602" w:firstLineChars="200"/>
        <w:rPr>
          <w:rFonts w:ascii="Times New Roman" w:hAnsi="Times New Roman" w:eastAsia="仿宋_GB2312" w:cs="黑体"/>
          <w:kern w:val="36"/>
          <w:sz w:val="30"/>
          <w:szCs w:val="30"/>
        </w:rPr>
      </w:pPr>
      <w:r>
        <w:rPr>
          <w:rFonts w:hint="eastAsia" w:ascii="Times New Roman" w:hAnsi="Times New Roman" w:eastAsia="仿宋_GB2312" w:cs="仿宋_GB2312"/>
          <w:b/>
          <w:bCs/>
          <w:kern w:val="0"/>
          <w:sz w:val="30"/>
          <w:szCs w:val="30"/>
        </w:rPr>
        <w:t>3.成果撰写：</w:t>
      </w:r>
      <w:r>
        <w:rPr>
          <w:rFonts w:hint="eastAsia" w:ascii="Times New Roman" w:hAnsi="Times New Roman" w:eastAsia="仿宋_GB2312" w:cs="黑体"/>
          <w:kern w:val="36"/>
          <w:sz w:val="30"/>
          <w:szCs w:val="30"/>
        </w:rPr>
        <w:t>参训学员要结合培训目标、培训内容和自身工作实际，设计并撰写一篇“有效推进课程思政工作的思考与建议”作为本次培训的学习成果。要求主题明确、条理清晰、结构完整、逻辑严谨，字数不少于1000字。</w:t>
      </w:r>
    </w:p>
    <w:p>
      <w:pPr>
        <w:pStyle w:val="14"/>
        <w:tabs>
          <w:tab w:val="left" w:pos="3119"/>
        </w:tabs>
        <w:spacing w:line="560" w:lineRule="exact"/>
        <w:ind w:firstLine="601"/>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培训结束后，完成培训各环节考核要求的学员可在线打印学时证明。参训单位可将学员学习时长计入继续教育培训学时。</w:t>
      </w:r>
    </w:p>
    <w:p>
      <w:pPr>
        <w:ind w:firstLine="600" w:firstLineChars="200"/>
        <w:rPr>
          <w:rFonts w:ascii="黑体" w:hAnsi="黑体" w:eastAsia="黑体"/>
          <w:sz w:val="30"/>
          <w:szCs w:val="30"/>
        </w:rPr>
      </w:pPr>
      <w:r>
        <w:rPr>
          <w:rFonts w:hint="eastAsia" w:ascii="黑体" w:hAnsi="黑体" w:eastAsia="黑体"/>
          <w:sz w:val="30"/>
          <w:szCs w:val="30"/>
        </w:rPr>
        <w:t>四、培训平台</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培训依托中国教育干部网络学院（</w:t>
      </w:r>
      <w:r>
        <w:fldChar w:fldCharType="begin"/>
      </w:r>
      <w:r>
        <w:instrText xml:space="preserve"> HYPERLINK "http://www.enaea.edu.cn" </w:instrText>
      </w:r>
      <w:r>
        <w:fldChar w:fldCharType="separate"/>
      </w:r>
      <w:r>
        <w:rPr>
          <w:rFonts w:hint="eastAsia" w:ascii="Times New Roman" w:hAnsi="Times New Roman" w:eastAsia="仿宋_GB2312" w:cs="Times New Roman"/>
          <w:sz w:val="30"/>
          <w:szCs w:val="30"/>
        </w:rPr>
        <w:t>www.enaea.edu.cn</w:t>
      </w:r>
      <w:r>
        <w:rPr>
          <w:rFonts w:hint="eastAsia" w:ascii="Times New Roman" w:hAnsi="Times New Roman" w:eastAsia="仿宋_GB2312" w:cs="Times New Roman"/>
          <w:sz w:val="30"/>
          <w:szCs w:val="30"/>
        </w:rPr>
        <w:fldChar w:fldCharType="end"/>
      </w:r>
      <w:r>
        <w:rPr>
          <w:rFonts w:hint="eastAsia" w:ascii="Times New Roman" w:hAnsi="Times New Roman" w:eastAsia="仿宋_GB2312"/>
          <w:sz w:val="30"/>
          <w:szCs w:val="30"/>
        </w:rPr>
        <w:t>）平台组织实施，参训学员在中国教育干部网络学院进行实名注册，登录后使用统一发放的学习卡参加学习（已注册过的学员可直接登录并使用学习卡），也可以直接下载移动客户端（学习公社</w:t>
      </w:r>
      <w:r>
        <w:rPr>
          <w:rFonts w:hint="eastAsia" w:ascii="Times New Roman" w:hAnsi="Times New Roman" w:eastAsia="仿宋_GB2312" w:cs="Times New Roman"/>
          <w:sz w:val="30"/>
          <w:szCs w:val="30"/>
        </w:rPr>
        <w:t>APP</w:t>
      </w:r>
      <w:r>
        <w:rPr>
          <w:rFonts w:hint="eastAsia" w:ascii="Times New Roman" w:hAnsi="Times New Roman" w:eastAsia="仿宋_GB2312"/>
          <w:sz w:val="30"/>
          <w:szCs w:val="30"/>
        </w:rPr>
        <w:t>）随时登录学习。</w:t>
      </w:r>
    </w:p>
    <w:p>
      <w:pPr>
        <w:ind w:firstLine="600" w:firstLineChars="200"/>
        <w:rPr>
          <w:rFonts w:ascii="黑体" w:hAnsi="黑体" w:eastAsia="黑体"/>
          <w:sz w:val="30"/>
          <w:szCs w:val="30"/>
        </w:rPr>
      </w:pPr>
    </w:p>
    <w:p>
      <w:pPr>
        <w:ind w:firstLine="600" w:firstLineChars="200"/>
        <w:rPr>
          <w:rFonts w:ascii="黑体" w:hAnsi="黑体" w:eastAsia="黑体"/>
          <w:sz w:val="30"/>
          <w:szCs w:val="30"/>
        </w:rPr>
      </w:pPr>
      <w:r>
        <w:rPr>
          <w:rFonts w:hint="eastAsia" w:ascii="黑体" w:hAnsi="黑体" w:eastAsia="黑体"/>
          <w:sz w:val="30"/>
          <w:szCs w:val="30"/>
        </w:rPr>
        <w:t>五、相关事宜</w:t>
      </w:r>
    </w:p>
    <w:p>
      <w:pPr>
        <w:spacing w:line="580" w:lineRule="exact"/>
        <w:ind w:firstLine="602" w:firstLineChars="200"/>
        <w:rPr>
          <w:rFonts w:ascii="Times New Roman" w:hAnsi="Times New Roman" w:eastAsia="仿宋_GB2312"/>
          <w:sz w:val="30"/>
          <w:szCs w:val="30"/>
        </w:rPr>
      </w:pPr>
      <w:r>
        <w:rPr>
          <w:rFonts w:hint="eastAsia" w:ascii="Times New Roman" w:hAnsi="Times New Roman" w:eastAsia="仿宋_GB2312" w:cs="Times New Roman"/>
          <w:b/>
          <w:bCs/>
          <w:sz w:val="30"/>
          <w:szCs w:val="30"/>
        </w:rPr>
        <w:t>1</w:t>
      </w:r>
      <w:r>
        <w:rPr>
          <w:rFonts w:hint="eastAsia" w:ascii="Times New Roman" w:hAnsi="Times New Roman" w:eastAsia="仿宋_GB2312"/>
          <w:b/>
          <w:bCs/>
          <w:sz w:val="30"/>
          <w:szCs w:val="30"/>
        </w:rPr>
        <w:t>.培训费用：</w:t>
      </w:r>
      <w:r>
        <w:rPr>
          <w:rFonts w:hint="eastAsia" w:ascii="Times New Roman" w:hAnsi="Times New Roman" w:eastAsia="仿宋_GB2312" w:cs="仿宋_GB2312"/>
          <w:sz w:val="30"/>
          <w:szCs w:val="30"/>
        </w:rPr>
        <w:t>网络培训费2</w:t>
      </w: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0元/人（包含</w:t>
      </w:r>
      <w:r>
        <w:rPr>
          <w:rFonts w:hint="eastAsia" w:ascii="Times New Roman" w:hAnsi="Times New Roman" w:eastAsia="仿宋_GB2312" w:cs="黑体"/>
          <w:sz w:val="30"/>
          <w:szCs w:val="30"/>
        </w:rPr>
        <w:t>师资、课程使用、带宽流量、技术平台使用及维护、教学服务与管理等费用</w:t>
      </w:r>
      <w:r>
        <w:rPr>
          <w:rFonts w:hint="eastAsia" w:ascii="Times New Roman" w:hAnsi="Times New Roman" w:eastAsia="仿宋_GB2312" w:cs="仿宋_GB2312"/>
          <w:sz w:val="30"/>
          <w:szCs w:val="30"/>
        </w:rPr>
        <w:t>），</w:t>
      </w:r>
      <w:r>
        <w:rPr>
          <w:rFonts w:hint="eastAsia" w:ascii="Times New Roman" w:hAnsi="Times New Roman" w:eastAsia="仿宋_GB2312"/>
          <w:sz w:val="30"/>
          <w:szCs w:val="30"/>
        </w:rPr>
        <w:t>由参训单位按下列账号统一支付：</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收款单位：国家教育行政学院</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开户银行：工行北京体育场支行</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账    号：</w:t>
      </w:r>
      <w:r>
        <w:rPr>
          <w:rFonts w:hint="eastAsia" w:ascii="Times New Roman" w:hAnsi="Times New Roman" w:eastAsia="仿宋_GB2312" w:cs="Times New Roman"/>
          <w:sz w:val="30"/>
          <w:szCs w:val="30"/>
        </w:rPr>
        <w:t>0200053009014409667</w:t>
      </w:r>
    </w:p>
    <w:p>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sz w:val="30"/>
          <w:szCs w:val="30"/>
        </w:rPr>
        <w:t>联 行 号：</w:t>
      </w:r>
      <w:r>
        <w:rPr>
          <w:rFonts w:hint="eastAsia" w:ascii="Times New Roman" w:hAnsi="Times New Roman" w:eastAsia="仿宋_GB2312" w:cs="Times New Roman"/>
          <w:sz w:val="30"/>
          <w:szCs w:val="30"/>
        </w:rPr>
        <w:t>102100005307</w:t>
      </w:r>
    </w:p>
    <w:p>
      <w:pPr>
        <w:spacing w:line="580" w:lineRule="exact"/>
        <w:ind w:firstLine="602" w:firstLineChars="200"/>
        <w:rPr>
          <w:rFonts w:ascii="Times New Roman" w:hAnsi="Times New Roman" w:eastAsia="仿宋_GB2312" w:cs="仿宋_GB2312"/>
          <w:kern w:val="0"/>
          <w:sz w:val="30"/>
          <w:szCs w:val="30"/>
        </w:rPr>
      </w:pPr>
      <w:r>
        <w:rPr>
          <w:rFonts w:hint="eastAsia" w:ascii="Times New Roman" w:hAnsi="Times New Roman" w:eastAsia="仿宋_GB2312" w:cs="Times New Roman"/>
          <w:b/>
          <w:bCs/>
          <w:sz w:val="30"/>
          <w:szCs w:val="30"/>
        </w:rPr>
        <w:t>2.报名事宜：</w:t>
      </w:r>
      <w:bookmarkStart w:id="1" w:name="_Hlk49437286"/>
      <w:r>
        <w:rPr>
          <w:rFonts w:hint="eastAsia" w:ascii="Times New Roman" w:hAnsi="Times New Roman" w:eastAsia="仿宋_GB2312" w:cs="仿宋_GB2312"/>
          <w:kern w:val="0"/>
          <w:sz w:val="30"/>
          <w:szCs w:val="30"/>
        </w:rPr>
        <w:t>各省（自治区、直辖市）可统筹安排，可根据实际培训需求与参训人数组班开展培训活动，每班原则上不少于30人。各地、各学校收到通知即可组织报名，并填写培训报名表（见附件），与国家教育行政学院联系。</w:t>
      </w:r>
      <w:bookmarkEnd w:id="1"/>
    </w:p>
    <w:p>
      <w:pPr>
        <w:spacing w:line="580" w:lineRule="exact"/>
        <w:ind w:firstLine="600" w:firstLineChars="200"/>
        <w:rPr>
          <w:rFonts w:ascii="Times New Roman" w:hAnsi="Times New Roman" w:cs="Times New Roman"/>
          <w:sz w:val="30"/>
          <w:szCs w:val="30"/>
        </w:rPr>
      </w:pPr>
      <w:r>
        <w:rPr>
          <w:rFonts w:hint="eastAsia" w:ascii="仿宋_GB2312" w:eastAsia="仿宋_GB2312"/>
          <w:sz w:val="30"/>
          <w:szCs w:val="30"/>
        </w:rPr>
        <w:t>联系人：张老师</w:t>
      </w:r>
    </w:p>
    <w:p>
      <w:pPr>
        <w:spacing w:line="580" w:lineRule="exact"/>
        <w:ind w:firstLine="600" w:firstLineChars="200"/>
        <w:rPr>
          <w:rFonts w:ascii="仿宋_GB2312"/>
          <w:sz w:val="30"/>
          <w:szCs w:val="30"/>
        </w:rPr>
      </w:pPr>
      <w:r>
        <w:rPr>
          <w:rFonts w:hint="eastAsia" w:ascii="仿宋_GB2312" w:eastAsia="仿宋_GB2312"/>
          <w:sz w:val="30"/>
          <w:szCs w:val="30"/>
        </w:rPr>
        <w:t xml:space="preserve">电 </w:t>
      </w:r>
      <w:r>
        <w:rPr>
          <w:rFonts w:ascii="仿宋_GB2312" w:eastAsia="仿宋_GB2312"/>
          <w:sz w:val="30"/>
          <w:szCs w:val="30"/>
        </w:rPr>
        <w:t xml:space="preserve"> </w:t>
      </w:r>
      <w:r>
        <w:rPr>
          <w:rFonts w:hint="eastAsia" w:ascii="仿宋_GB2312" w:eastAsia="仿宋_GB2312"/>
          <w:sz w:val="30"/>
          <w:szCs w:val="30"/>
        </w:rPr>
        <w:t>话</w:t>
      </w:r>
      <w:r>
        <w:rPr>
          <w:rFonts w:hint="eastAsia" w:ascii="Times New Roman" w:hAnsi="Times New Roman" w:cs="Times New Roman"/>
          <w:sz w:val="30"/>
          <w:szCs w:val="30"/>
        </w:rPr>
        <w:t>：010-61264940，010-69248888</w:t>
      </w:r>
      <w:r>
        <w:rPr>
          <w:rFonts w:hint="eastAsia" w:ascii="仿宋_GB2312" w:eastAsia="仿宋_GB2312"/>
          <w:sz w:val="30"/>
          <w:szCs w:val="30"/>
        </w:rPr>
        <w:t>转</w:t>
      </w:r>
      <w:r>
        <w:rPr>
          <w:rFonts w:hint="eastAsia" w:ascii="Times New Roman" w:hAnsi="Times New Roman" w:cs="Times New Roman"/>
          <w:sz w:val="30"/>
          <w:szCs w:val="30"/>
        </w:rPr>
        <w:t>3621</w:t>
      </w:r>
    </w:p>
    <w:p>
      <w:pPr>
        <w:ind w:firstLine="600" w:firstLineChars="200"/>
        <w:rPr>
          <w:rFonts w:ascii="仿宋_GB2312" w:hAnsi="仿宋_GB2312" w:eastAsia="仿宋_GB2312" w:cs="仿宋_GB2312"/>
          <w:sz w:val="30"/>
          <w:szCs w:val="30"/>
        </w:rPr>
      </w:pPr>
      <w:r>
        <w:rPr>
          <w:rFonts w:hint="eastAsia" w:ascii="仿宋_GB2312" w:eastAsia="仿宋_GB2312"/>
          <w:sz w:val="30"/>
          <w:szCs w:val="30"/>
        </w:rPr>
        <w:t>邮  箱：</w:t>
      </w:r>
      <w:r>
        <w:fldChar w:fldCharType="begin"/>
      </w:r>
      <w:r>
        <w:instrText xml:space="preserve"> HYPERLINK "mailto:enaea@naea.edu.cn" </w:instrText>
      </w:r>
      <w:r>
        <w:fldChar w:fldCharType="separate"/>
      </w:r>
      <w:r>
        <w:rPr>
          <w:rFonts w:hint="eastAsia" w:ascii="Times New Roman" w:hAnsi="Times New Roman" w:cs="Times New Roman"/>
          <w:sz w:val="30"/>
          <w:szCs w:val="30"/>
        </w:rPr>
        <w:t>enaea@naea.edu.cn</w:t>
      </w:r>
      <w:r>
        <w:rPr>
          <w:rFonts w:hint="eastAsia" w:ascii="Times New Roman" w:hAnsi="Times New Roman" w:cs="Times New Roman"/>
          <w:sz w:val="30"/>
          <w:szCs w:val="30"/>
        </w:rPr>
        <w:fldChar w:fldCharType="end"/>
      </w:r>
    </w:p>
    <w:p>
      <w:pPr>
        <w:spacing w:line="580" w:lineRule="exact"/>
        <w:ind w:left="596" w:leftChars="284"/>
        <w:rPr>
          <w:rFonts w:ascii="Times New Roman" w:hAnsi="Times New Roman" w:eastAsia="仿宋_GB2312" w:cs="Times New Roman"/>
          <w:sz w:val="30"/>
          <w:szCs w:val="30"/>
        </w:rPr>
      </w:pPr>
      <w:r>
        <w:rPr>
          <w:rFonts w:hint="eastAsia" w:ascii="仿宋_GB2312" w:eastAsia="仿宋_GB2312"/>
          <w:sz w:val="30"/>
          <w:szCs w:val="30"/>
        </w:rPr>
        <w:t>地  址：北京市大兴区清源北路8号</w:t>
      </w:r>
      <w:r>
        <w:rPr>
          <w:rFonts w:hint="eastAsia" w:ascii="仿宋_GB2312" w:eastAsia="仿宋_GB2312"/>
          <w:sz w:val="30"/>
          <w:szCs w:val="30"/>
        </w:rPr>
        <w:br w:type="textWrapping"/>
      </w:r>
      <w:r>
        <w:rPr>
          <w:rFonts w:hint="eastAsia" w:ascii="仿宋_GB2312" w:eastAsia="仿宋_GB2312"/>
          <w:sz w:val="30"/>
          <w:szCs w:val="30"/>
        </w:rPr>
        <w:t>邮  编：</w:t>
      </w:r>
      <w:r>
        <w:rPr>
          <w:rFonts w:ascii="Times New Roman" w:hAnsi="Times New Roman" w:eastAsia="仿宋_GB2312" w:cs="Times New Roman"/>
          <w:sz w:val="30"/>
          <w:szCs w:val="30"/>
        </w:rPr>
        <w:t>102617</w:t>
      </w:r>
    </w:p>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附件：1</w:t>
      </w:r>
      <w:r>
        <w:rPr>
          <w:rFonts w:ascii="Times New Roman" w:hAnsi="Times New Roman" w:eastAsia="仿宋_GB2312" w:cs="黑体"/>
          <w:kern w:val="36"/>
          <w:sz w:val="30"/>
          <w:szCs w:val="30"/>
        </w:rPr>
        <w:t>.</w:t>
      </w:r>
      <w:r>
        <w:rPr>
          <w:rFonts w:hint="eastAsia" w:ascii="Times New Roman" w:hAnsi="Times New Roman" w:eastAsia="仿宋_GB2312" w:cs="黑体"/>
          <w:kern w:val="36"/>
          <w:sz w:val="30"/>
          <w:szCs w:val="30"/>
        </w:rPr>
        <w:t>“高校课程思政体系建设”专题网络培训课程列表</w:t>
      </w:r>
    </w:p>
    <w:p>
      <w:pPr>
        <w:spacing w:line="560" w:lineRule="exact"/>
        <w:ind w:firstLine="600" w:firstLineChars="200"/>
        <w:rPr>
          <w:rFonts w:ascii="Times New Roman" w:hAnsi="Times New Roman" w:eastAsia="仿宋_GB2312" w:cs="黑体"/>
          <w:kern w:val="36"/>
          <w:sz w:val="30"/>
          <w:szCs w:val="30"/>
        </w:rPr>
      </w:pPr>
      <w:r>
        <w:rPr>
          <w:rFonts w:hint="eastAsia" w:ascii="Times New Roman" w:hAnsi="Times New Roman" w:eastAsia="仿宋_GB2312" w:cs="黑体"/>
          <w:kern w:val="36"/>
          <w:sz w:val="30"/>
          <w:szCs w:val="30"/>
        </w:rPr>
        <w:t xml:space="preserve"> </w:t>
      </w:r>
      <w:r>
        <w:rPr>
          <w:rFonts w:ascii="Times New Roman" w:hAnsi="Times New Roman" w:eastAsia="仿宋_GB2312" w:cs="黑体"/>
          <w:kern w:val="36"/>
          <w:sz w:val="30"/>
          <w:szCs w:val="30"/>
        </w:rPr>
        <w:t xml:space="preserve">     2.</w:t>
      </w:r>
      <w:bookmarkStart w:id="3" w:name="_GoBack"/>
      <w:r>
        <w:rPr>
          <w:rFonts w:hint="eastAsia" w:ascii="Times New Roman" w:hAnsi="Times New Roman" w:eastAsia="仿宋_GB2312" w:cs="黑体"/>
          <w:kern w:val="36"/>
          <w:sz w:val="30"/>
          <w:szCs w:val="30"/>
        </w:rPr>
        <w:t>“高校课程思政体系建设”专题网络培训报名表</w:t>
      </w:r>
      <w:bookmarkEnd w:id="3"/>
    </w:p>
    <w:p>
      <w:pPr>
        <w:rPr>
          <w:rFonts w:ascii="Times New Roman" w:hAnsi="Times New Roman" w:eastAsia="黑体" w:cs="黑体"/>
          <w:kern w:val="44"/>
          <w:sz w:val="30"/>
          <w:szCs w:val="30"/>
        </w:rPr>
      </w:pPr>
      <w:r>
        <w:rPr>
          <w:rFonts w:hint="eastAsia" w:ascii="Times New Roman" w:hAnsi="Times New Roman" w:eastAsia="黑体" w:cs="黑体"/>
          <w:kern w:val="44"/>
          <w:sz w:val="30"/>
          <w:szCs w:val="30"/>
        </w:rPr>
        <w:br w:type="page"/>
      </w:r>
    </w:p>
    <w:p>
      <w:pPr>
        <w:widowControl/>
        <w:jc w:val="left"/>
        <w:rPr>
          <w:rFonts w:ascii="Times New Roman" w:hAnsi="Times New Roman" w:eastAsia="黑体" w:cs="黑体"/>
          <w:kern w:val="44"/>
          <w:sz w:val="30"/>
          <w:szCs w:val="30"/>
        </w:rPr>
      </w:pPr>
      <w:r>
        <w:rPr>
          <w:rFonts w:hint="eastAsia" w:ascii="Times New Roman" w:hAnsi="Times New Roman" w:eastAsia="黑体" w:cs="黑体"/>
          <w:kern w:val="44"/>
          <w:sz w:val="30"/>
          <w:szCs w:val="30"/>
        </w:rPr>
        <w:t>附件1</w:t>
      </w:r>
    </w:p>
    <w:p>
      <w:pPr>
        <w:widowControl/>
        <w:jc w:val="center"/>
        <w:rPr>
          <w:rFonts w:ascii="Times New Roman" w:hAnsi="Times New Roman" w:eastAsia="方正小标宋简体" w:cs="黑体"/>
          <w:kern w:val="44"/>
          <w:sz w:val="36"/>
          <w:szCs w:val="36"/>
        </w:rPr>
      </w:pPr>
      <w:bookmarkStart w:id="2" w:name="_Hlk44236779"/>
      <w:r>
        <w:rPr>
          <w:rFonts w:hint="eastAsia" w:ascii="Times New Roman" w:hAnsi="Times New Roman" w:eastAsia="方正小标宋简体" w:cs="黑体"/>
          <w:kern w:val="44"/>
          <w:sz w:val="36"/>
          <w:szCs w:val="36"/>
        </w:rPr>
        <w:t>“高校课程思政体系建设”专题网络培训课程列表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3750"/>
        <w:gridCol w:w="950"/>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pPr>
              <w:widowControl/>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课程模块</w:t>
            </w:r>
          </w:p>
        </w:tc>
        <w:tc>
          <w:tcPr>
            <w:tcW w:w="3750" w:type="dxa"/>
            <w:vAlign w:val="center"/>
          </w:tcPr>
          <w:p>
            <w:pPr>
              <w:widowControl/>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课程名称</w:t>
            </w:r>
          </w:p>
        </w:tc>
        <w:tc>
          <w:tcPr>
            <w:tcW w:w="950" w:type="dxa"/>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主讲人</w:t>
            </w:r>
          </w:p>
        </w:tc>
        <w:tc>
          <w:tcPr>
            <w:tcW w:w="3122" w:type="dxa"/>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课程思政内容体系建设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新时代中国特色社会主义思想</w:t>
            </w:r>
          </w:p>
        </w:tc>
        <w:tc>
          <w:tcPr>
            <w:tcW w:w="3750" w:type="dxa"/>
            <w:vAlign w:val="center"/>
          </w:tcPr>
          <w:p>
            <w:pPr>
              <w:widowControl/>
              <w:shd w:val="clear" w:color="auto" w:fill="FCFCFC"/>
              <w:jc w:val="left"/>
              <w:outlineLvl w:val="0"/>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习近平新时代中国特色社会主义思想导学</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周文彰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国家行政学院原副院长、博士生导师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widowControl/>
              <w:shd w:val="clear" w:color="auto" w:fill="FCFCFC"/>
              <w:jc w:val="left"/>
              <w:outlineLvl w:val="0"/>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习近平新时代中国特色社会主义思想产生的历史方位和现实意义</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洪向华</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中共中央党校（国家行政学院）科研部副巡视员、教授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深入领会科学理论体系——学习《习近平新时代中国特色社会主义思想三十讲》</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颜晓峰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"https://study.enaea.edu.cn/kecheng/detail_280929" \t "_blank" \o "做习近平新时代中国特色社会主义思想的坚定信仰者、忠实实践者"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做习近平新时代中国特色社会主义思想的坚定信仰者、忠实实践者</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黄相怀</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中共中央党校（国家行政学院）教授，国家高端智库学术委员会秘书长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"https://study.enaea.edu.cn/kecheng/detail_277574" \t "_blank" \o "以习近平新时代中国特色社会主义思想为指引 写好高等学校党建与思政工作奋进之笔"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以习近平新时代中国特色社会主义思想为指引 写好高等学校党建与思政工作奋进之笔</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王光彦</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教育部思想政治工作司副司长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社会主义核心价值观</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社会主义核心价值观：我们共同的追求，共同的坚守</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李君如</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中共中央党校原副校长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培育践行社会主义核心价值观是新形势下加强高校党建和思想政治教育工作的根本任务</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王光彦</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教育部思想政治工作司副司长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在经受考验中坚守精神的高地——感悟社会主义核心价值观的熔铸和打造</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丁晓兵</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武警广西总队政委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社会主义核心价值观与当代中国主流意识形态建设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侯惠勤</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安徽大学马克思主义研究院院长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文化自信与社会主义核心价值观建设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 xml:space="preserve">张 </w:t>
            </w:r>
            <w:r>
              <w:rPr>
                <w:rFonts w:ascii="Times New Roman" w:hAnsi="Times New Roman" w:eastAsia="仿宋_GB2312" w:cs="仿宋"/>
                <w:color w:val="000000" w:themeColor="text1"/>
                <w:kern w:val="0"/>
                <w:sz w:val="24"/>
                <w:szCs w:val="24"/>
                <w14:textFill>
                  <w14:solidFill>
                    <w14:schemeClr w14:val="tx1"/>
                  </w14:solidFill>
                </w14:textFill>
              </w:rPr>
              <w:t xml:space="preserve"> </w:t>
            </w:r>
            <w:r>
              <w:rPr>
                <w:rFonts w:hint="eastAsia" w:ascii="Times New Roman" w:hAnsi="Times New Roman" w:eastAsia="仿宋_GB2312" w:cs="仿宋"/>
                <w:color w:val="000000" w:themeColor="text1"/>
                <w:kern w:val="0"/>
                <w:sz w:val="24"/>
                <w:szCs w:val="24"/>
                <w14:textFill>
                  <w14:solidFill>
                    <w14:schemeClr w14:val="tx1"/>
                  </w14:solidFill>
                </w14:textFill>
              </w:rPr>
              <w:t>军</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中共中央党校（国家教育行政学院）文史教研部副主任，教授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中华优秀传统文化</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"https://study.enaea.edu.cn/kecheng/detail_279334" \t "_blank" \o "核心价值观必须立足中华优秀传统文化"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核心价值观必须立足中华优秀传统文化</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李汉秋</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著名人文学家、连续4届全国政协委员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"https://study.enaea.edu.cn/kecheng/detail_279459" \t "_blank" \o "中国传统文化的智慧"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中国传统文化的智慧</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楼宇烈</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北京大学哲学系教授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"https://study.enaea.edu.cn/kecheng/detail_279204" \t "_blank" \o "发掘传统文化资源，充实价值认知"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发掘传统文化资源，充实价值认知</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  蒙</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中国当代作家、学者，中国作家协会名誉主席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"https://study.enaea.edu.cn/kecheng/detail_278715" \t "_blank" \o "扎根中国传统文化办教育"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扎根中国传统文化办教育</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吴国通</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中国教育学会学术委员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如何实现中华优秀传统文化创造性转化、创新性发展</w:t>
            </w:r>
          </w:p>
          <w:p>
            <w:pPr>
              <w:rPr>
                <w:rFonts w:ascii="Times New Roman" w:hAnsi="Times New Roman" w:eastAsia="仿宋_GB2312" w:cs="仿宋"/>
                <w:color w:val="000000" w:themeColor="text1"/>
                <w:kern w:val="0"/>
                <w:sz w:val="24"/>
                <w:szCs w:val="24"/>
                <w14:textFill>
                  <w14:solidFill>
                    <w14:schemeClr w14:val="tx1"/>
                  </w14:solidFill>
                </w14:textFill>
              </w:rPr>
            </w:pP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齐勇锋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中国传媒大学文化发展研究院学术委员会主任，研究员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宪法精神与教育法治</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"https://study.enaea.edu.cn/kecheng/detail_281780" \t "_blank" \o "为什么要学宪法"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为什么要学宪法</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r>
              <w:rPr>
                <w:rFonts w:hint="eastAsia" w:ascii="Times New Roman" w:hAnsi="Times New Roman" w:eastAsia="仿宋_GB2312" w:cs="仿宋"/>
                <w:color w:val="000000" w:themeColor="text1"/>
                <w:kern w:val="0"/>
                <w:sz w:val="24"/>
                <w:szCs w:val="24"/>
                <w14:textFill>
                  <w14:solidFill>
                    <w14:schemeClr w14:val="tx1"/>
                  </w14:solidFill>
                </w14:textFill>
              </w:rPr>
              <w:t>系列微课14讲</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微  课</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"https://study.enaea.edu.cn/kecheng/detail_278275" \t "_blank" \o "《宪法》及相关法律知识解读"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《宪法》及相关法律知识解读</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赵  玄</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国家教育行政学院助理研究员，北京大学法学博士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"https://study.enaea.edu.cn/kecheng/detail_272484" \t "_blank" \o "树立宪法观念，推进依法治校"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树立宪法观念，推进依法治校</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韩大元</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现任中国人民大学法学院院长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"https://study.enaea.edu.cn/kecheng/detail_278434" \t "_blank" \o "《高等教育法》与依法治校"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《高等教育法》与依法治校</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王大泉</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教育部法制办公室副主任，北京法学会教育法学研究会副会长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pStyle w:val="2"/>
              <w:shd w:val="clear" w:color="auto" w:fill="FCFCFC"/>
              <w:spacing w:before="0" w:beforeAutospacing="0" w:after="0" w:afterAutospacing="0"/>
              <w:outlineLvl w:val="0"/>
              <w:rPr>
                <w:rFonts w:ascii="Times New Roman" w:hAnsi="Times New Roman" w:eastAsia="仿宋_GB2312" w:cs="仿宋"/>
                <w:color w:val="000000" w:themeColor="text1"/>
                <w:sz w:val="24"/>
                <w:szCs w:val="24"/>
                <w14:textFill>
                  <w14:solidFill>
                    <w14:schemeClr w14:val="tx1"/>
                  </w14:solidFill>
                </w14:textFill>
              </w:rPr>
            </w:pPr>
            <w:r>
              <w:rPr>
                <w:rFonts w:hint="eastAsia" w:ascii="Times New Roman" w:hAnsi="Times New Roman" w:eastAsia="仿宋_GB2312" w:cs="仿宋"/>
                <w:b w:val="0"/>
                <w:bCs w:val="0"/>
                <w:color w:val="000000" w:themeColor="text1"/>
                <w:kern w:val="0"/>
                <w:sz w:val="24"/>
                <w:szCs w:val="24"/>
                <w14:textFill>
                  <w14:solidFill>
                    <w14:schemeClr w14:val="tx1"/>
                  </w14:solidFill>
                </w14:textFill>
              </w:rPr>
              <w:t>大学治理与依法治校</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王敬波</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中国政法大学教授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职业理想和职业道德</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时代的期望与教师的担当</w:t>
            </w:r>
          </w:p>
        </w:tc>
        <w:tc>
          <w:tcPr>
            <w:tcW w:w="950" w:type="dxa"/>
            <w:vAlign w:val="center"/>
          </w:tcPr>
          <w:p>
            <w:pPr>
              <w:jc w:val="center"/>
              <w:rPr>
                <w:rFonts w:ascii="Times New Roman" w:hAnsi="Times New Roman" w:eastAsia="仿宋_GB2312" w:cs="仿宋"/>
                <w:color w:val="000000" w:themeColor="text1"/>
                <w:kern w:val="0"/>
                <w:sz w:val="24"/>
                <w:szCs w:val="24"/>
                <w:shd w:val="clear" w:color="auto" w:fill="F7F7F7"/>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骆承烈</w:t>
            </w:r>
          </w:p>
        </w:tc>
        <w:tc>
          <w:tcPr>
            <w:tcW w:w="3122" w:type="dxa"/>
            <w:vAlign w:val="center"/>
          </w:tcPr>
          <w:p>
            <w:pPr>
              <w:rPr>
                <w:rFonts w:ascii="Times New Roman" w:hAnsi="Times New Roman" w:eastAsia="仿宋_GB2312" w:cs="仿宋"/>
                <w:color w:val="000000" w:themeColor="text1"/>
                <w:kern w:val="0"/>
                <w:sz w:val="24"/>
                <w:szCs w:val="24"/>
                <w:shd w:val="clear" w:color="auto" w:fill="FCFCFC"/>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山东省曲阜师范大学孔子文化学院副院长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做国家和人民满意的人民教师——谈教学方法艺术及教师师德师风</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张学政</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从史学精神看高校教师人文素质提升——从求学生涯和我的老师们谈起</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朱孝远</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如何做一个温暖的老师</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路丙辉</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安徽师范大学政治学院教授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"https://study.enaea.edu.cn/kecheng/detail_282503" \t "_blank" \o "疫情时期教师的生命意义和使命担当"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疫情时期教师的生命意义和使命担当</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姚小玲</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北京航空航天大学教授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课程思政教学体系建设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立德树人与核心素养培育</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不忘育人初心 提升从业境界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李丹青</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实施“三全育人”，提升学生APLIC核心素养</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邱化民</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北京师范大学教育学部学生办公室主任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现代大学理念与高素质人才培养</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龚  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南开大学原校长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专业教育中如何实现思政育人</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 xml:space="preserve">破解专业课教师的“课程思政之惑” </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夏永林</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西安电子科技大学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专业课教师做好课程思政建设的12345</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李侃侃</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西北农林科技大学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提升育德意识 创新课程思政——关于专业课课程思政的一些思考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刘道平</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上海理工大学党委副书记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专业课程融入思政工作的教学设计理念与方法</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于歆杰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清华大学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课程思政如何融入课堂教学过程</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各类课程与思政课同向同行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  强</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上海科技大学纪委书记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“思政课程”到“课程思政” 同向同行 合力育人</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马前锋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上海出版印刷高等专科学校教授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如何转变思想，上好一堂课程思政专业课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张晓东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上海理工大学副教授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"https://study.enaea.edu.cn/kecheng/detail_282024" \t "_blank"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“课程思政”教学设计与实施</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李赛强</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山东大学教学促进与教师发展中心副主任、教授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文科类课程思政建设的几点思考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姚小玲</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北京航空航天大学教授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明理、悟道、育新任——物理教学中贯彻“课程思政”理念的思考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施大宁</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南京航空航天大学副校长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《大学生学习指导》课的思政元素与育人效果</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李丹青</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一堂有温度的生命大课——浅谈解剖学专业课程思政建设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崔怀瑞</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温州医科大学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实验实践课程育人与知行合一</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"https://study.enaea.edu.cn/kecheng/detail_270885" \t "_blank" \o "构建社会实践教育平台，发挥社会实践育人功能"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构建社会实践教育平台，发挥社会实践育人功能</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陆  凯</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大连理工大学团委书记兼团校校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"https://study.enaea.edu.cn/kecheng/detail_278603" \t "_blank" \o "创新创业教育与协同育人的实践探索"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创新创业教育与协同育人的实践探索</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马连湘</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青岛科技大学校长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思政育人重点课程建设</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如何打造既有意思又有意义的思政课？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王雪超</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天津师范大学马克思主义学院教授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把握思政课教师教学能力的结构与核心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“思想道德修养与法律基础”魅力课堂的实践与思考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曾咏辉</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长江师范学院马克思主义学院教授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高校思想政治理论课教学改革的探索——以“中国近现代史纲要”课程为例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雷江梅</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"https://study.enaea.edu.cn/kecheng/detail_276996" \t "_blank" \o "最关爱学生的思政课——丽水学院思想政治理论课综合改革"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最关爱学生的思政课——丽水学院思想政治理论课综合改革</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彭  兵</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丽水学院思想政治理论课教学部主任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课程思政工作体系建设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课程思政工作顶层规划</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课程思政的认识，实践与思考——北京联合大学的实践经验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韩宪洲</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北京联合大学党委书记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ascii="Times New Roman" w:hAnsi="Times New Roman" w:eastAsia="仿宋_GB2312" w:cs="仿宋"/>
                <w:color w:val="000000" w:themeColor="text1"/>
                <w:kern w:val="0"/>
                <w:sz w:val="24"/>
                <w:szCs w:val="24"/>
                <w14:textFill>
                  <w14:solidFill>
                    <w14:schemeClr w14:val="tx1"/>
                  </w14:solidFill>
                </w14:textFill>
              </w:rPr>
              <w:t>课程思政生态体系的构建---以西南大学为例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吴能表</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西南大学教务处长、教授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ascii="Times New Roman" w:hAnsi="Times New Roman" w:eastAsia="仿宋_GB2312" w:cs="仿宋"/>
                <w:color w:val="000000" w:themeColor="text1"/>
                <w:kern w:val="0"/>
                <w:sz w:val="24"/>
                <w:szCs w:val="24"/>
                <w14:textFill>
                  <w14:solidFill>
                    <w14:schemeClr w14:val="tx1"/>
                  </w14:solidFill>
                </w14:textFill>
              </w:rPr>
              <w:t>高校课程思政的工作体系建设经验——以重庆大学启航计划为例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李正良</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重庆大学教务处长、教授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思政教师队伍建设</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有效增强教学影响力：思政课教师最基本的教学能力</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"https://study.enaea.edu.cn/kecheng/detail_282692" \t "_blank" \o "课程思政工作对师德师风建设的促进作用"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课程思政工作对师德师风建设的促进作用</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张黎声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上海中医药大学教授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提升思政课教师组织运用学科专业知识服务教学目标的能力</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bookmarkEnd w:id="2"/>
    </w:tbl>
    <w:p>
      <w:pPr>
        <w:spacing w:before="156" w:beforeLines="50"/>
        <w:rPr>
          <w:rFonts w:ascii="Times New Roman" w:hAnsi="Times New Roman" w:eastAsia="仿宋_GB2312" w:cs="仿宋"/>
          <w:color w:val="000000" w:themeColor="text1"/>
          <w:sz w:val="24"/>
          <w:szCs w:val="24"/>
          <w14:textFill>
            <w14:solidFill>
              <w14:schemeClr w14:val="tx1"/>
            </w14:solidFill>
          </w14:textFill>
        </w:rPr>
      </w:pPr>
      <w:r>
        <w:rPr>
          <w:rFonts w:hint="eastAsia" w:ascii="Times New Roman" w:hAnsi="Times New Roman" w:eastAsia="仿宋_GB2312" w:cs="仿宋"/>
          <w:color w:val="000000" w:themeColor="text1"/>
          <w:sz w:val="24"/>
          <w:szCs w:val="24"/>
          <w14:textFill>
            <w14:solidFill>
              <w14:schemeClr w14:val="tx1"/>
            </w14:solidFill>
          </w14:textFill>
        </w:rPr>
        <w:t>说明：1.实施中个别课程或稍有调整，请以平台最终发布课程为准；</w:t>
      </w:r>
    </w:p>
    <w:p>
      <w:pPr>
        <w:pStyle w:val="14"/>
        <w:tabs>
          <w:tab w:val="left" w:pos="3119"/>
        </w:tabs>
        <w:ind w:firstLine="720" w:firstLineChars="300"/>
        <w:rPr>
          <w:rFonts w:eastAsia="仿宋_GB2312" w:cs="仿宋"/>
          <w:color w:val="000000" w:themeColor="text1"/>
          <w:sz w:val="24"/>
          <w:szCs w:val="24"/>
          <w14:textFill>
            <w14:solidFill>
              <w14:schemeClr w14:val="tx1"/>
            </w14:solidFill>
          </w14:textFill>
        </w:rPr>
      </w:pPr>
      <w:r>
        <w:rPr>
          <w:rFonts w:hint="eastAsia" w:eastAsia="仿宋_GB2312" w:cs="仿宋"/>
          <w:color w:val="000000" w:themeColor="text1"/>
          <w:sz w:val="24"/>
          <w:szCs w:val="24"/>
          <w14:textFill>
            <w14:solidFill>
              <w14:schemeClr w14:val="tx1"/>
            </w14:solidFill>
          </w14:textFill>
        </w:rPr>
        <w:t>2.课程主讲人职务为课程录制时的职务。</w:t>
      </w:r>
    </w:p>
    <w:p>
      <w:pPr>
        <w:widowControl/>
        <w:jc w:val="left"/>
        <w:rPr>
          <w:rFonts w:ascii="Times New Roman" w:hAnsi="Times New Roman"/>
        </w:rPr>
      </w:pPr>
      <w:r>
        <w:rPr>
          <w:rFonts w:ascii="Times New Roman" w:hAnsi="Times New Roman"/>
        </w:rPr>
        <w:br w:type="page"/>
      </w:r>
    </w:p>
    <w:p>
      <w:pPr>
        <w:widowControl/>
        <w:jc w:val="left"/>
        <w:rPr>
          <w:rFonts w:ascii="Times New Roman" w:hAnsi="Times New Roman" w:eastAsia="黑体" w:cs="黑体"/>
          <w:kern w:val="44"/>
          <w:sz w:val="30"/>
          <w:szCs w:val="30"/>
        </w:rPr>
      </w:pPr>
      <w:r>
        <w:rPr>
          <w:rFonts w:hint="eastAsia" w:ascii="Times New Roman" w:hAnsi="Times New Roman" w:eastAsia="黑体" w:cs="黑体"/>
          <w:kern w:val="44"/>
          <w:sz w:val="30"/>
          <w:szCs w:val="30"/>
        </w:rPr>
        <w:t>附件</w:t>
      </w:r>
      <w:r>
        <w:rPr>
          <w:rFonts w:ascii="Times New Roman" w:hAnsi="Times New Roman" w:eastAsia="黑体" w:cs="黑体"/>
          <w:kern w:val="44"/>
          <w:sz w:val="30"/>
          <w:szCs w:val="30"/>
        </w:rPr>
        <w:t>2</w:t>
      </w:r>
    </w:p>
    <w:p>
      <w:pPr>
        <w:widowControl/>
        <w:jc w:val="center"/>
        <w:rPr>
          <w:rFonts w:ascii="Times New Roman" w:hAnsi="Times New Roman" w:eastAsia="方正小标宋简体" w:cs="黑体"/>
          <w:kern w:val="44"/>
          <w:sz w:val="36"/>
          <w:szCs w:val="36"/>
        </w:rPr>
      </w:pPr>
      <w:r>
        <w:rPr>
          <w:rFonts w:hint="eastAsia" w:ascii="Times New Roman" w:hAnsi="Times New Roman" w:eastAsia="方正小标宋简体" w:cs="黑体"/>
          <w:kern w:val="44"/>
          <w:sz w:val="36"/>
          <w:szCs w:val="36"/>
        </w:rPr>
        <w:t>“高校课程思政体系建设”专题网络培训报名表</w:t>
      </w:r>
    </w:p>
    <w:tbl>
      <w:tblPr>
        <w:tblStyle w:val="7"/>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34"/>
        <w:gridCol w:w="2693"/>
        <w:gridCol w:w="567"/>
        <w:gridCol w:w="709"/>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单位名称</w:t>
            </w:r>
          </w:p>
        </w:tc>
        <w:tc>
          <w:tcPr>
            <w:tcW w:w="71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参训对象</w:t>
            </w:r>
          </w:p>
        </w:tc>
        <w:tc>
          <w:tcPr>
            <w:tcW w:w="71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开班时间</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参加人数</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通讯地址</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邮编</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负</w:t>
            </w:r>
          </w:p>
          <w:p>
            <w:pPr>
              <w:jc w:val="center"/>
              <w:rPr>
                <w:rFonts w:ascii="仿宋_GB2312" w:eastAsia="仿宋_GB2312"/>
                <w:b/>
                <w:bCs/>
                <w:sz w:val="24"/>
                <w:szCs w:val="24"/>
              </w:rPr>
            </w:pPr>
            <w:r>
              <w:rPr>
                <w:rFonts w:hint="eastAsia" w:ascii="仿宋_GB2312" w:eastAsia="仿宋_GB2312"/>
                <w:b/>
                <w:bCs/>
                <w:sz w:val="24"/>
                <w:szCs w:val="24"/>
              </w:rPr>
              <w:t>责</w:t>
            </w:r>
          </w:p>
          <w:p>
            <w:pPr>
              <w:jc w:val="center"/>
              <w:rPr>
                <w:rFonts w:ascii="仿宋_GB2312" w:eastAsia="仿宋_GB2312"/>
                <w:b/>
                <w:bCs/>
                <w:sz w:val="24"/>
                <w:szCs w:val="24"/>
              </w:rPr>
            </w:pPr>
            <w:r>
              <w:rPr>
                <w:rFonts w:hint="eastAsia" w:ascii="仿宋_GB2312" w:eastAsia="仿宋_GB2312"/>
                <w:b/>
                <w:bCs/>
                <w:sz w:val="24"/>
                <w:szCs w:val="24"/>
              </w:rPr>
              <w:t>人</w:t>
            </w:r>
          </w:p>
          <w:p>
            <w:pPr>
              <w:jc w:val="center"/>
              <w:rPr>
                <w:rFonts w:ascii="仿宋_GB2312" w:eastAsia="仿宋_GB2312"/>
                <w:b/>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姓名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部门</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continue"/>
            <w:tcBorders>
              <w:left w:val="single" w:color="auto" w:sz="4" w:space="0"/>
              <w:right w:val="single" w:color="auto" w:sz="4" w:space="0"/>
            </w:tcBorders>
            <w:vAlign w:val="center"/>
          </w:tcPr>
          <w:p>
            <w:pPr>
              <w:jc w:val="center"/>
              <w:rPr>
                <w:rFonts w:ascii="仿宋_GB2312" w:eastAsia="仿宋_GB2312"/>
                <w:b/>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职务</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电话</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手机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邮箱</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联</w:t>
            </w:r>
          </w:p>
          <w:p>
            <w:pPr>
              <w:jc w:val="center"/>
              <w:rPr>
                <w:rFonts w:ascii="仿宋_GB2312" w:eastAsia="仿宋_GB2312"/>
                <w:b/>
                <w:bCs/>
                <w:sz w:val="24"/>
                <w:szCs w:val="24"/>
              </w:rPr>
            </w:pPr>
            <w:r>
              <w:rPr>
                <w:rFonts w:hint="eastAsia" w:ascii="仿宋_GB2312" w:eastAsia="仿宋_GB2312"/>
                <w:b/>
                <w:bCs/>
                <w:sz w:val="24"/>
                <w:szCs w:val="24"/>
              </w:rPr>
              <w:t>系</w:t>
            </w:r>
          </w:p>
          <w:p>
            <w:pPr>
              <w:jc w:val="center"/>
              <w:rPr>
                <w:rFonts w:ascii="仿宋_GB2312" w:eastAsia="仿宋_GB2312"/>
                <w:b/>
                <w:bCs/>
                <w:sz w:val="24"/>
                <w:szCs w:val="24"/>
              </w:rPr>
            </w:pPr>
            <w:r>
              <w:rPr>
                <w:rFonts w:hint="eastAsia" w:ascii="仿宋_GB2312" w:eastAsia="仿宋_GB2312"/>
                <w:b/>
                <w:bCs/>
                <w:sz w:val="24"/>
                <w:szCs w:val="24"/>
              </w:rPr>
              <w:t>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姓名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部门</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continue"/>
            <w:tcBorders>
              <w:left w:val="single" w:color="auto" w:sz="4" w:space="0"/>
              <w:right w:val="single" w:color="auto" w:sz="4" w:space="0"/>
            </w:tcBorders>
            <w:vAlign w:val="center"/>
          </w:tcPr>
          <w:p>
            <w:pPr>
              <w:jc w:val="center"/>
              <w:rPr>
                <w:rFonts w:ascii="仿宋_GB2312" w:eastAsia="仿宋_GB2312"/>
                <w:b/>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职务</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电话</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手机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邮箱</w:t>
            </w:r>
          </w:p>
        </w:tc>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单</w:t>
            </w:r>
          </w:p>
          <w:p>
            <w:pPr>
              <w:jc w:val="center"/>
              <w:rPr>
                <w:rFonts w:ascii="仿宋_GB2312" w:eastAsia="仿宋_GB2312"/>
                <w:b/>
                <w:bCs/>
                <w:sz w:val="24"/>
                <w:szCs w:val="24"/>
              </w:rPr>
            </w:pPr>
            <w:r>
              <w:rPr>
                <w:rFonts w:hint="eastAsia" w:ascii="仿宋_GB2312" w:eastAsia="仿宋_GB2312"/>
                <w:b/>
                <w:bCs/>
                <w:sz w:val="24"/>
                <w:szCs w:val="24"/>
              </w:rPr>
              <w:t>位</w:t>
            </w:r>
          </w:p>
          <w:p>
            <w:pPr>
              <w:jc w:val="center"/>
              <w:rPr>
                <w:rFonts w:ascii="仿宋_GB2312" w:eastAsia="仿宋_GB2312"/>
                <w:b/>
                <w:bCs/>
                <w:sz w:val="24"/>
                <w:szCs w:val="24"/>
              </w:rPr>
            </w:pPr>
            <w:r>
              <w:rPr>
                <w:rFonts w:hint="eastAsia" w:ascii="仿宋_GB2312" w:eastAsia="仿宋_GB2312"/>
                <w:b/>
                <w:bCs/>
                <w:sz w:val="24"/>
                <w:szCs w:val="24"/>
              </w:rPr>
              <w:t>意</w:t>
            </w:r>
          </w:p>
          <w:p>
            <w:pPr>
              <w:jc w:val="center"/>
              <w:rPr>
                <w:rFonts w:ascii="仿宋_GB2312" w:eastAsia="仿宋_GB2312"/>
                <w:b/>
                <w:bCs/>
                <w:sz w:val="24"/>
                <w:szCs w:val="24"/>
              </w:rPr>
            </w:pPr>
            <w:r>
              <w:rPr>
                <w:rFonts w:hint="eastAsia" w:ascii="仿宋_GB2312" w:eastAsia="仿宋_GB2312"/>
                <w:b/>
                <w:bCs/>
                <w:sz w:val="24"/>
                <w:szCs w:val="24"/>
              </w:rPr>
              <w:t>见</w:t>
            </w:r>
          </w:p>
        </w:tc>
        <w:tc>
          <w:tcPr>
            <w:tcW w:w="8285" w:type="dxa"/>
            <w:gridSpan w:val="5"/>
            <w:tcBorders>
              <w:top w:val="single" w:color="auto" w:sz="4" w:space="0"/>
              <w:left w:val="single" w:color="auto" w:sz="4" w:space="0"/>
              <w:bottom w:val="single" w:color="auto" w:sz="4" w:space="0"/>
              <w:right w:val="single" w:color="auto" w:sz="4" w:space="0"/>
            </w:tcBorders>
          </w:tcPr>
          <w:p>
            <w:pPr>
              <w:pStyle w:val="14"/>
              <w:rPr>
                <w:rFonts w:eastAsia="等线"/>
              </w:rPr>
            </w:pPr>
          </w:p>
          <w:p>
            <w:pPr>
              <w:pStyle w:val="14"/>
              <w:rPr>
                <w:rFonts w:eastAsia="等线"/>
              </w:rPr>
            </w:pPr>
          </w:p>
          <w:p>
            <w:pPr>
              <w:pStyle w:val="14"/>
              <w:rPr>
                <w:rFonts w:eastAsia="等线"/>
              </w:rPr>
            </w:pPr>
          </w:p>
          <w:p>
            <w:pPr>
              <w:pStyle w:val="14"/>
              <w:rPr>
                <w:rFonts w:eastAsia="等线"/>
              </w:rPr>
            </w:pPr>
          </w:p>
          <w:p/>
          <w:p>
            <w:pPr>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单位盖章</w:t>
            </w:r>
          </w:p>
          <w:p>
            <w:pPr>
              <w:rPr>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汇</w:t>
            </w:r>
          </w:p>
          <w:p>
            <w:pPr>
              <w:jc w:val="center"/>
              <w:rPr>
                <w:rFonts w:ascii="仿宋_GB2312" w:eastAsia="仿宋_GB2312"/>
                <w:b/>
                <w:bCs/>
                <w:sz w:val="24"/>
                <w:szCs w:val="24"/>
              </w:rPr>
            </w:pPr>
            <w:r>
              <w:rPr>
                <w:rFonts w:hint="eastAsia" w:ascii="仿宋_GB2312" w:eastAsia="仿宋_GB2312"/>
                <w:b/>
                <w:bCs/>
                <w:sz w:val="24"/>
                <w:szCs w:val="24"/>
              </w:rPr>
              <w:t>款</w:t>
            </w:r>
          </w:p>
          <w:p>
            <w:pPr>
              <w:jc w:val="center"/>
              <w:rPr>
                <w:rFonts w:ascii="仿宋_GB2312" w:eastAsia="仿宋_GB2312"/>
                <w:b/>
                <w:bCs/>
                <w:sz w:val="24"/>
                <w:szCs w:val="24"/>
              </w:rPr>
            </w:pPr>
            <w:r>
              <w:rPr>
                <w:rFonts w:hint="eastAsia" w:ascii="仿宋_GB2312" w:eastAsia="仿宋_GB2312"/>
                <w:b/>
                <w:bCs/>
                <w:sz w:val="24"/>
                <w:szCs w:val="24"/>
              </w:rPr>
              <w:t>信</w:t>
            </w:r>
          </w:p>
          <w:p>
            <w:pPr>
              <w:jc w:val="center"/>
              <w:rPr>
                <w:rFonts w:ascii="仿宋_GB2312" w:eastAsia="仿宋_GB2312"/>
                <w:sz w:val="24"/>
                <w:szCs w:val="24"/>
              </w:rPr>
            </w:pPr>
            <w:r>
              <w:rPr>
                <w:rFonts w:hint="eastAsia" w:ascii="仿宋_GB2312" w:eastAsia="仿宋_GB2312"/>
                <w:b/>
                <w:bCs/>
                <w:sz w:val="24"/>
                <w:szCs w:val="24"/>
              </w:rPr>
              <w:t>息</w:t>
            </w:r>
          </w:p>
        </w:tc>
        <w:tc>
          <w:tcPr>
            <w:tcW w:w="382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收款单位：国家教育行政学院</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地址电话：北京市大兴区清源北路8号 010-69248888</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开户银行：工行北京体育场支行</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账号：0200053009014409667</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联行号：102100005307</w:t>
            </w:r>
          </w:p>
          <w:p>
            <w:pPr>
              <w:rPr>
                <w:rFonts w:ascii="仿宋_GB2312" w:eastAsia="仿宋_GB2312"/>
                <w:sz w:val="24"/>
                <w:szCs w:val="24"/>
              </w:rPr>
            </w:pPr>
            <w:r>
              <w:rPr>
                <w:rFonts w:ascii="Times New Roman" w:hAnsi="Times New Roman" w:eastAsia="仿宋_GB2312" w:cs="Times New Roman"/>
                <w:sz w:val="24"/>
                <w:szCs w:val="24"/>
              </w:rPr>
              <w:t>请在汇款时说明：</w:t>
            </w:r>
            <w:r>
              <w:rPr>
                <w:rFonts w:hint="eastAsia" w:ascii="Times New Roman" w:hAnsi="Times New Roman" w:eastAsia="仿宋_GB2312" w:cs="Times New Roman"/>
                <w:sz w:val="24"/>
                <w:szCs w:val="24"/>
              </w:rPr>
              <w:t>思政体系建设</w:t>
            </w:r>
            <w:r>
              <w:rPr>
                <w:rFonts w:ascii="Times New Roman" w:hAnsi="Times New Roman" w:eastAsia="仿宋_GB2312" w:cs="Times New Roman"/>
                <w:sz w:val="24"/>
                <w:szCs w:val="24"/>
              </w:rPr>
              <w:t xml:space="preserve">专题 </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开票信息</w:t>
            </w:r>
          </w:p>
        </w:tc>
        <w:tc>
          <w:tcPr>
            <w:tcW w:w="3891"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r>
              <w:rPr>
                <w:rFonts w:hint="eastAsia" w:ascii="仿宋_GB2312" w:eastAsia="仿宋_GB2312"/>
                <w:sz w:val="24"/>
                <w:szCs w:val="24"/>
              </w:rPr>
              <w:t>发票抬头:</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纳税人识别号：</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开票金额：</w:t>
            </w:r>
          </w:p>
        </w:tc>
      </w:tr>
    </w:tbl>
    <w:p>
      <w:pPr>
        <w:ind w:leftChars="-135" w:hanging="283" w:hangingChars="118"/>
        <w:rPr>
          <w:rFonts w:ascii="仿宋_GB2312" w:eastAsia="仿宋_GB2312"/>
          <w:sz w:val="24"/>
          <w:szCs w:val="24"/>
        </w:rPr>
      </w:pPr>
      <w:r>
        <w:rPr>
          <w:rFonts w:hint="eastAsia" w:ascii="仿宋_GB2312" w:eastAsia="仿宋_GB2312"/>
          <w:sz w:val="24"/>
          <w:szCs w:val="24"/>
        </w:rPr>
        <w:t>说明：请参训单位认真填写此表，与国家教育行政学院联系，以便尽快安排培训。</w:t>
      </w: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4058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AF"/>
    <w:rsid w:val="00005121"/>
    <w:rsid w:val="00046372"/>
    <w:rsid w:val="000D2540"/>
    <w:rsid w:val="001204AF"/>
    <w:rsid w:val="00122B75"/>
    <w:rsid w:val="001C4E49"/>
    <w:rsid w:val="001C691B"/>
    <w:rsid w:val="001D09D4"/>
    <w:rsid w:val="001D5AF8"/>
    <w:rsid w:val="001F423D"/>
    <w:rsid w:val="00244A79"/>
    <w:rsid w:val="00370514"/>
    <w:rsid w:val="003B7DA3"/>
    <w:rsid w:val="003D0E0D"/>
    <w:rsid w:val="00524D78"/>
    <w:rsid w:val="00545E91"/>
    <w:rsid w:val="005A13E3"/>
    <w:rsid w:val="005E39E7"/>
    <w:rsid w:val="00694AC1"/>
    <w:rsid w:val="00724655"/>
    <w:rsid w:val="007635D7"/>
    <w:rsid w:val="0078129F"/>
    <w:rsid w:val="007847B6"/>
    <w:rsid w:val="00810D16"/>
    <w:rsid w:val="008A38B4"/>
    <w:rsid w:val="008D45B2"/>
    <w:rsid w:val="008F0B5B"/>
    <w:rsid w:val="0091030E"/>
    <w:rsid w:val="00911563"/>
    <w:rsid w:val="00983014"/>
    <w:rsid w:val="009A504A"/>
    <w:rsid w:val="009C407D"/>
    <w:rsid w:val="009E1BCD"/>
    <w:rsid w:val="009E3FE1"/>
    <w:rsid w:val="00A00609"/>
    <w:rsid w:val="00A11EEC"/>
    <w:rsid w:val="00A8294F"/>
    <w:rsid w:val="00AA0F2A"/>
    <w:rsid w:val="00AC364D"/>
    <w:rsid w:val="00B421D9"/>
    <w:rsid w:val="00B60218"/>
    <w:rsid w:val="00B91A36"/>
    <w:rsid w:val="00B943D5"/>
    <w:rsid w:val="00C42DC8"/>
    <w:rsid w:val="00C56A0E"/>
    <w:rsid w:val="00CA441D"/>
    <w:rsid w:val="00D03820"/>
    <w:rsid w:val="00D04D61"/>
    <w:rsid w:val="00D927C9"/>
    <w:rsid w:val="00D9454A"/>
    <w:rsid w:val="00E13798"/>
    <w:rsid w:val="00E27872"/>
    <w:rsid w:val="00E71651"/>
    <w:rsid w:val="00E75D42"/>
    <w:rsid w:val="00E9271C"/>
    <w:rsid w:val="00ED3DB4"/>
    <w:rsid w:val="00ED6B1A"/>
    <w:rsid w:val="00ED6B71"/>
    <w:rsid w:val="00EF20CA"/>
    <w:rsid w:val="00F04751"/>
    <w:rsid w:val="00FA027C"/>
    <w:rsid w:val="00FB06DE"/>
    <w:rsid w:val="00FE5DF4"/>
    <w:rsid w:val="01347517"/>
    <w:rsid w:val="032654DB"/>
    <w:rsid w:val="097A1133"/>
    <w:rsid w:val="098E463C"/>
    <w:rsid w:val="0ACA79C0"/>
    <w:rsid w:val="0BA45C11"/>
    <w:rsid w:val="0DFF2F34"/>
    <w:rsid w:val="0EA17DFB"/>
    <w:rsid w:val="0F1E70F1"/>
    <w:rsid w:val="18AC344A"/>
    <w:rsid w:val="1CBA29E4"/>
    <w:rsid w:val="23D420EC"/>
    <w:rsid w:val="28D52645"/>
    <w:rsid w:val="2AA879C6"/>
    <w:rsid w:val="312A47C8"/>
    <w:rsid w:val="349430C2"/>
    <w:rsid w:val="41175791"/>
    <w:rsid w:val="4B3C57C7"/>
    <w:rsid w:val="4FC322E3"/>
    <w:rsid w:val="53CC6A12"/>
    <w:rsid w:val="692C23C2"/>
    <w:rsid w:val="6EE7336E"/>
    <w:rsid w:val="6F7F1873"/>
    <w:rsid w:val="70CE2657"/>
    <w:rsid w:val="715123AF"/>
    <w:rsid w:val="7166500C"/>
    <w:rsid w:val="7EFF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rPr>
      <w:rFonts w:ascii="Calibri" w:hAnsi="Calibri" w:eastAsia="宋体" w:cs="黑体"/>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unhideWhenUsed/>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9"/>
    <w:rPr>
      <w:rFonts w:ascii="宋体" w:hAnsi="宋体" w:eastAsia="宋体" w:cs="宋体"/>
      <w:b/>
      <w:bCs/>
      <w:kern w:val="36"/>
      <w:sz w:val="48"/>
      <w:szCs w:val="48"/>
    </w:rPr>
  </w:style>
  <w:style w:type="paragraph" w:customStyle="1" w:styleId="1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5">
    <w:name w:val="批注框文本 字符"/>
    <w:basedOn w:val="9"/>
    <w:link w:val="4"/>
    <w:semiHidden/>
    <w:qFormat/>
    <w:uiPriority w:val="99"/>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批注文字 字符"/>
    <w:basedOn w:val="9"/>
    <w:link w:val="3"/>
    <w:semiHidden/>
    <w:qFormat/>
    <w:uiPriority w:val="99"/>
    <w:rPr>
      <w:rFonts w:cs="黑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914</Words>
  <Characters>5216</Characters>
  <Lines>43</Lines>
  <Paragraphs>12</Paragraphs>
  <TotalTime>7</TotalTime>
  <ScaleCrop>false</ScaleCrop>
  <LinksUpToDate>false</LinksUpToDate>
  <CharactersWithSpaces>6118</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2020-07-27T01:52:00Z</dcterms:created>
  <dc:creator>liyanhui</dc:creator>
  <cp:lastModifiedBy>孙赛</cp:lastModifiedBy>
  <dcterms:modified xsi:type="dcterms:W3CDTF">2020-10-21T07:45:18Z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