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EA6DA" w14:textId="77777777" w:rsidR="00126D3F" w:rsidRDefault="00126D3F" w:rsidP="00126D3F">
      <w:pPr>
        <w:spacing w:line="360" w:lineRule="auto"/>
        <w:ind w:left="426" w:rightChars="50" w:right="105" w:hangingChars="152" w:hanging="426"/>
        <w:jc w:val="left"/>
        <w:rPr>
          <w:rFonts w:ascii="方正小标宋简体" w:eastAsia="方正小标宋简体" w:hAnsi="方正小标宋简体" w:cs="方正小标宋简体"/>
          <w:bCs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28"/>
          <w:szCs w:val="28"/>
        </w:rPr>
        <w:t>附件</w:t>
      </w:r>
      <w:r>
        <w:rPr>
          <w:rFonts w:ascii="Times New Roman" w:eastAsia="方正小标宋简体" w:hAnsi="Times New Roman"/>
          <w:bCs/>
          <w:color w:val="000000"/>
          <w:sz w:val="28"/>
          <w:szCs w:val="28"/>
        </w:rPr>
        <w:t>2</w:t>
      </w:r>
    </w:p>
    <w:p w14:paraId="5F93E1CB" w14:textId="77777777" w:rsidR="00126D3F" w:rsidRDefault="00126D3F" w:rsidP="00126D3F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28"/>
          <w:szCs w:val="28"/>
        </w:rPr>
        <w:t>2020下半年全国大学生入党积极分子、发展对象、预备党员和党员网络培训选修课程列表</w:t>
      </w:r>
    </w:p>
    <w:tbl>
      <w:tblPr>
        <w:tblStyle w:val="a3"/>
        <w:tblW w:w="9272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77"/>
        <w:gridCol w:w="970"/>
        <w:gridCol w:w="3625"/>
      </w:tblGrid>
      <w:tr w:rsidR="00126D3F" w14:paraId="00996068" w14:textId="77777777" w:rsidTr="007D6B9A">
        <w:trPr>
          <w:trHeight w:val="422"/>
        </w:trPr>
        <w:tc>
          <w:tcPr>
            <w:tcW w:w="9272" w:type="dxa"/>
            <w:gridSpan w:val="3"/>
            <w:shd w:val="clear" w:color="auto" w:fill="auto"/>
            <w:vAlign w:val="center"/>
          </w:tcPr>
          <w:p w14:paraId="474A1877" w14:textId="77777777" w:rsidR="00126D3F" w:rsidRDefault="00126D3F" w:rsidP="007D6B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  <w:t>（一）心理健康与压力管理</w:t>
            </w:r>
          </w:p>
        </w:tc>
      </w:tr>
      <w:tr w:rsidR="00126D3F" w14:paraId="25180ED1" w14:textId="77777777" w:rsidTr="007D6B9A">
        <w:trPr>
          <w:trHeight w:val="427"/>
        </w:trPr>
        <w:tc>
          <w:tcPr>
            <w:tcW w:w="4677" w:type="dxa"/>
            <w:shd w:val="clear" w:color="auto" w:fill="auto"/>
            <w:vAlign w:val="center"/>
          </w:tcPr>
          <w:p w14:paraId="17141AB9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951F3BC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8007868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126D3F" w14:paraId="3BB443EE" w14:textId="77777777" w:rsidTr="007D6B9A">
        <w:trPr>
          <w:trHeight w:val="422"/>
        </w:trPr>
        <w:tc>
          <w:tcPr>
            <w:tcW w:w="4677" w:type="dxa"/>
            <w:shd w:val="clear" w:color="auto" w:fill="auto"/>
            <w:vAlign w:val="center"/>
          </w:tcPr>
          <w:p w14:paraId="26FD2405" w14:textId="77777777" w:rsidR="00126D3F" w:rsidRDefault="00126D3F" w:rsidP="007D6B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压力管理与心理健康促进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85BA137" w14:textId="77777777" w:rsidR="00126D3F" w:rsidRDefault="00126D3F" w:rsidP="007D6B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樊富珉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4E44AD2C" w14:textId="77777777" w:rsidR="00126D3F" w:rsidRDefault="00126D3F" w:rsidP="007D6B9A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清华大学社会科学学院心理学系副主任、教授</w:t>
            </w:r>
          </w:p>
        </w:tc>
      </w:tr>
      <w:tr w:rsidR="00126D3F" w14:paraId="12B2E404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0D9EDE3A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积极心态、责任担当与压力调适</w:t>
            </w:r>
          </w:p>
        </w:tc>
        <w:tc>
          <w:tcPr>
            <w:tcW w:w="970" w:type="dxa"/>
            <w:vAlign w:val="center"/>
          </w:tcPr>
          <w:p w14:paraId="22C0059A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胡月星</w:t>
            </w:r>
          </w:p>
        </w:tc>
        <w:tc>
          <w:tcPr>
            <w:tcW w:w="3625" w:type="dxa"/>
            <w:vAlign w:val="center"/>
          </w:tcPr>
          <w:p w14:paraId="3BA3B711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中共中央党校（国家行政学院）教授</w:t>
            </w:r>
          </w:p>
        </w:tc>
      </w:tr>
      <w:tr w:rsidR="00126D3F" w14:paraId="688B2597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73E222F3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科学应对压力，维护身心健康</w:t>
            </w:r>
          </w:p>
        </w:tc>
        <w:tc>
          <w:tcPr>
            <w:tcW w:w="970" w:type="dxa"/>
            <w:vAlign w:val="center"/>
          </w:tcPr>
          <w:p w14:paraId="4563B8A4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祝卓宏</w:t>
            </w:r>
            <w:proofErr w:type="gramEnd"/>
          </w:p>
        </w:tc>
        <w:tc>
          <w:tcPr>
            <w:tcW w:w="3625" w:type="dxa"/>
            <w:vAlign w:val="center"/>
          </w:tcPr>
          <w:p w14:paraId="1DAF48DE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中国科学院心理研究所教授</w:t>
            </w:r>
          </w:p>
        </w:tc>
      </w:tr>
      <w:tr w:rsidR="00126D3F" w14:paraId="6BB3D2C2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3D2E13DB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网络互联时代与心理健康促进</w:t>
            </w:r>
          </w:p>
        </w:tc>
        <w:tc>
          <w:tcPr>
            <w:tcW w:w="970" w:type="dxa"/>
            <w:vAlign w:val="center"/>
          </w:tcPr>
          <w:p w14:paraId="2BBC9805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张西超</w:t>
            </w:r>
            <w:proofErr w:type="gramEnd"/>
          </w:p>
        </w:tc>
        <w:tc>
          <w:tcPr>
            <w:tcW w:w="3625" w:type="dxa"/>
            <w:vAlign w:val="center"/>
          </w:tcPr>
          <w:p w14:paraId="7D20BB06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北京师范大学心理学院教授</w:t>
            </w:r>
          </w:p>
        </w:tc>
      </w:tr>
      <w:tr w:rsidR="00126D3F" w14:paraId="7C8BC98C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6CA946CC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大学生心理健康的自我维护</w:t>
            </w:r>
          </w:p>
        </w:tc>
        <w:tc>
          <w:tcPr>
            <w:tcW w:w="970" w:type="dxa"/>
            <w:vAlign w:val="center"/>
          </w:tcPr>
          <w:p w14:paraId="350DF6B9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赵丽琴</w:t>
            </w:r>
          </w:p>
        </w:tc>
        <w:tc>
          <w:tcPr>
            <w:tcW w:w="3625" w:type="dxa"/>
            <w:vAlign w:val="center"/>
          </w:tcPr>
          <w:p w14:paraId="73BEDF5C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北京工业大学教授</w:t>
            </w:r>
          </w:p>
        </w:tc>
      </w:tr>
      <w:tr w:rsidR="00126D3F" w14:paraId="77C920CB" w14:textId="77777777" w:rsidTr="007D6B9A">
        <w:trPr>
          <w:trHeight w:val="422"/>
        </w:trPr>
        <w:tc>
          <w:tcPr>
            <w:tcW w:w="9272" w:type="dxa"/>
            <w:gridSpan w:val="3"/>
            <w:vAlign w:val="center"/>
          </w:tcPr>
          <w:p w14:paraId="19C00D40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（二）职业规划与就业指导</w:t>
            </w:r>
          </w:p>
        </w:tc>
      </w:tr>
      <w:tr w:rsidR="00126D3F" w14:paraId="78864E5E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79FC160F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70" w:type="dxa"/>
            <w:vAlign w:val="center"/>
          </w:tcPr>
          <w:p w14:paraId="56E749A4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3625" w:type="dxa"/>
            <w:vAlign w:val="center"/>
          </w:tcPr>
          <w:p w14:paraId="0200ECBA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126D3F" w14:paraId="1A1215C3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53797232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国际职业资格证书和智慧学习工场</w:t>
            </w:r>
          </w:p>
        </w:tc>
        <w:tc>
          <w:tcPr>
            <w:tcW w:w="970" w:type="dxa"/>
            <w:vAlign w:val="center"/>
          </w:tcPr>
          <w:p w14:paraId="751ED748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贾洪雷</w:t>
            </w:r>
            <w:proofErr w:type="gramEnd"/>
          </w:p>
        </w:tc>
        <w:tc>
          <w:tcPr>
            <w:tcW w:w="3625" w:type="dxa"/>
            <w:vAlign w:val="center"/>
          </w:tcPr>
          <w:p w14:paraId="3B35CD4F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人社部国家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职业技能鉴定专家委员会专家</w:t>
            </w:r>
          </w:p>
        </w:tc>
      </w:tr>
      <w:tr w:rsidR="00126D3F" w14:paraId="4840A4F2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42D986F2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大学生职业生涯规划</w:t>
            </w:r>
          </w:p>
        </w:tc>
        <w:tc>
          <w:tcPr>
            <w:tcW w:w="970" w:type="dxa"/>
            <w:vAlign w:val="center"/>
          </w:tcPr>
          <w:p w14:paraId="2E1AD917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蒋建荣</w:t>
            </w:r>
          </w:p>
        </w:tc>
        <w:tc>
          <w:tcPr>
            <w:tcW w:w="3625" w:type="dxa"/>
            <w:vAlign w:val="center"/>
          </w:tcPr>
          <w:p w14:paraId="570725C4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南开大学周恩来政府管理学院副教授</w:t>
            </w:r>
          </w:p>
        </w:tc>
      </w:tr>
      <w:tr w:rsidR="00126D3F" w14:paraId="2DB33975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7304C276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毕业生如何进行职业抉择</w:t>
            </w:r>
          </w:p>
        </w:tc>
        <w:tc>
          <w:tcPr>
            <w:tcW w:w="970" w:type="dxa"/>
            <w:vAlign w:val="center"/>
          </w:tcPr>
          <w:p w14:paraId="18A50DF3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周晓凡</w:t>
            </w:r>
          </w:p>
        </w:tc>
        <w:tc>
          <w:tcPr>
            <w:tcW w:w="3625" w:type="dxa"/>
            <w:vAlign w:val="center"/>
          </w:tcPr>
          <w:p w14:paraId="0F14D81B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北京人力资源服务行业协会副会长</w:t>
            </w:r>
          </w:p>
        </w:tc>
      </w:tr>
      <w:tr w:rsidR="00126D3F" w14:paraId="30BB35FF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4FB01971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职场冲突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处理</w:t>
            </w:r>
          </w:p>
        </w:tc>
        <w:tc>
          <w:tcPr>
            <w:tcW w:w="970" w:type="dxa"/>
            <w:vAlign w:val="center"/>
          </w:tcPr>
          <w:p w14:paraId="31CCD905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张鼎昆</w:t>
            </w:r>
            <w:proofErr w:type="gramEnd"/>
          </w:p>
        </w:tc>
        <w:tc>
          <w:tcPr>
            <w:tcW w:w="3625" w:type="dxa"/>
            <w:vAlign w:val="center"/>
          </w:tcPr>
          <w:p w14:paraId="1AAE6DE9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北京欣乐土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幸福教育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研究院院长</w:t>
            </w:r>
          </w:p>
        </w:tc>
      </w:tr>
      <w:tr w:rsidR="00126D3F" w14:paraId="344D2979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191353E0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沟通艺术</w:t>
            </w:r>
          </w:p>
        </w:tc>
        <w:tc>
          <w:tcPr>
            <w:tcW w:w="970" w:type="dxa"/>
            <w:vAlign w:val="center"/>
          </w:tcPr>
          <w:p w14:paraId="158582DB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姚小玲</w:t>
            </w:r>
          </w:p>
        </w:tc>
        <w:tc>
          <w:tcPr>
            <w:tcW w:w="3625" w:type="dxa"/>
            <w:vAlign w:val="center"/>
          </w:tcPr>
          <w:p w14:paraId="3DF9D42A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北京航空航天大学教授</w:t>
            </w:r>
          </w:p>
        </w:tc>
      </w:tr>
      <w:tr w:rsidR="00126D3F" w14:paraId="07A01FF5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0F3CD51C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会务礼仪</w:t>
            </w:r>
          </w:p>
        </w:tc>
        <w:tc>
          <w:tcPr>
            <w:tcW w:w="970" w:type="dxa"/>
            <w:vAlign w:val="center"/>
          </w:tcPr>
          <w:p w14:paraId="2BC857F5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韩晓洁</w:t>
            </w:r>
          </w:p>
        </w:tc>
        <w:tc>
          <w:tcPr>
            <w:tcW w:w="3625" w:type="dxa"/>
            <w:vAlign w:val="center"/>
          </w:tcPr>
          <w:p w14:paraId="3FE3221A" w14:textId="77777777" w:rsidR="00126D3F" w:rsidRDefault="00126D3F" w:rsidP="007D6B9A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中央广播电视大学特聘商务礼仪讲师</w:t>
            </w:r>
          </w:p>
        </w:tc>
      </w:tr>
      <w:tr w:rsidR="00126D3F" w14:paraId="26251C76" w14:textId="77777777" w:rsidTr="007D6B9A">
        <w:trPr>
          <w:trHeight w:val="422"/>
        </w:trPr>
        <w:tc>
          <w:tcPr>
            <w:tcW w:w="9272" w:type="dxa"/>
            <w:gridSpan w:val="3"/>
            <w:vAlign w:val="center"/>
          </w:tcPr>
          <w:p w14:paraId="24F6ABAF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（三）道德修养与法律基础</w:t>
            </w:r>
          </w:p>
        </w:tc>
      </w:tr>
      <w:tr w:rsidR="00126D3F" w14:paraId="18249E20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78C1A412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70" w:type="dxa"/>
            <w:vAlign w:val="center"/>
          </w:tcPr>
          <w:p w14:paraId="37C03223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3625" w:type="dxa"/>
            <w:vAlign w:val="center"/>
          </w:tcPr>
          <w:p w14:paraId="63503C42" w14:textId="77777777" w:rsidR="00126D3F" w:rsidRDefault="00126D3F" w:rsidP="007D6B9A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126D3F" w14:paraId="487FE653" w14:textId="77777777" w:rsidTr="007D6B9A">
        <w:trPr>
          <w:trHeight w:val="422"/>
        </w:trPr>
        <w:tc>
          <w:tcPr>
            <w:tcW w:w="4677" w:type="dxa"/>
            <w:vAlign w:val="center"/>
          </w:tcPr>
          <w:p w14:paraId="4FD2E58D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走进音乐的世界——兼谈艺术对人生幸福与事业成功的重要性</w:t>
            </w:r>
          </w:p>
        </w:tc>
        <w:tc>
          <w:tcPr>
            <w:tcW w:w="970" w:type="dxa"/>
            <w:vAlign w:val="center"/>
          </w:tcPr>
          <w:p w14:paraId="68BD2757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周海宏</w:t>
            </w:r>
            <w:proofErr w:type="gramEnd"/>
          </w:p>
        </w:tc>
        <w:tc>
          <w:tcPr>
            <w:tcW w:w="3625" w:type="dxa"/>
            <w:vAlign w:val="center"/>
          </w:tcPr>
          <w:p w14:paraId="3B9B1BA2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中央音乐学院原副院长</w:t>
            </w:r>
          </w:p>
        </w:tc>
      </w:tr>
      <w:tr w:rsidR="00126D3F" w14:paraId="744E0C13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6DB3DB23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环境与健康</w:t>
            </w:r>
          </w:p>
        </w:tc>
        <w:tc>
          <w:tcPr>
            <w:tcW w:w="970" w:type="dxa"/>
            <w:vAlign w:val="center"/>
          </w:tcPr>
          <w:p w14:paraId="27EAB784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孙  英</w:t>
            </w:r>
          </w:p>
        </w:tc>
        <w:tc>
          <w:tcPr>
            <w:tcW w:w="3625" w:type="dxa"/>
            <w:vAlign w:val="center"/>
          </w:tcPr>
          <w:p w14:paraId="728F08B5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中国农业大学教授</w:t>
            </w:r>
          </w:p>
        </w:tc>
      </w:tr>
      <w:tr w:rsidR="00126D3F" w14:paraId="4BCC902E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71322CB6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为什么要学习宪法</w:t>
            </w:r>
          </w:p>
        </w:tc>
        <w:tc>
          <w:tcPr>
            <w:tcW w:w="970" w:type="dxa"/>
            <w:vAlign w:val="center"/>
          </w:tcPr>
          <w:p w14:paraId="2CEA2D0B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3625" w:type="dxa"/>
            <w:vAlign w:val="center"/>
          </w:tcPr>
          <w:p w14:paraId="2ECEBA44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6D3F" w14:paraId="6E91504B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01C40783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为什么必须学习宪法</w:t>
            </w:r>
          </w:p>
        </w:tc>
        <w:tc>
          <w:tcPr>
            <w:tcW w:w="970" w:type="dxa"/>
            <w:vAlign w:val="center"/>
          </w:tcPr>
          <w:p w14:paraId="5860D50D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3625" w:type="dxa"/>
            <w:vAlign w:val="center"/>
          </w:tcPr>
          <w:p w14:paraId="15DA30DD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6D3F" w14:paraId="3E23A97C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57C24E6C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中国宪法的由来</w:t>
            </w:r>
          </w:p>
        </w:tc>
        <w:tc>
          <w:tcPr>
            <w:tcW w:w="970" w:type="dxa"/>
            <w:vAlign w:val="center"/>
          </w:tcPr>
          <w:p w14:paraId="544764C4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3625" w:type="dxa"/>
            <w:vAlign w:val="center"/>
          </w:tcPr>
          <w:p w14:paraId="51F1A3BF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6D3F" w14:paraId="7715ACB5" w14:textId="77777777" w:rsidTr="007D6B9A">
        <w:trPr>
          <w:trHeight w:val="397"/>
        </w:trPr>
        <w:tc>
          <w:tcPr>
            <w:tcW w:w="4677" w:type="dxa"/>
            <w:vAlign w:val="center"/>
          </w:tcPr>
          <w:p w14:paraId="7929BE61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载入“新时代”的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宪法修正案</w:t>
            </w:r>
          </w:p>
        </w:tc>
        <w:tc>
          <w:tcPr>
            <w:tcW w:w="970" w:type="dxa"/>
            <w:vAlign w:val="center"/>
          </w:tcPr>
          <w:p w14:paraId="51798241" w14:textId="77777777" w:rsidR="00126D3F" w:rsidRDefault="00126D3F" w:rsidP="007D6B9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3625" w:type="dxa"/>
            <w:vAlign w:val="center"/>
          </w:tcPr>
          <w:p w14:paraId="3D86CA8F" w14:textId="77777777" w:rsidR="00126D3F" w:rsidRDefault="00126D3F" w:rsidP="007D6B9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158F9704" w14:textId="77777777" w:rsidR="00126D3F" w:rsidRDefault="00126D3F" w:rsidP="00126D3F">
      <w:pPr>
        <w:pStyle w:val="00"/>
        <w:spacing w:line="360" w:lineRule="exact"/>
        <w:ind w:rightChars="-27" w:right="-57" w:firstLineChars="0" w:firstLine="0"/>
        <w:rPr>
          <w:rFonts w:ascii="楷体" w:eastAsia="楷体" w:hAnsi="楷体" w:cs="仿宋"/>
          <w:color w:val="auto"/>
        </w:rPr>
      </w:pPr>
      <w:r>
        <w:rPr>
          <w:rFonts w:ascii="楷体" w:eastAsia="楷体" w:hAnsi="楷体" w:cs="仿宋"/>
          <w:color w:val="auto"/>
        </w:rPr>
        <w:t>说明</w:t>
      </w:r>
      <w:r>
        <w:rPr>
          <w:rFonts w:ascii="楷体" w:eastAsia="楷体" w:hAnsi="楷体" w:cs="仿宋" w:hint="eastAsia"/>
          <w:color w:val="auto"/>
        </w:rPr>
        <w:t>：</w:t>
      </w:r>
      <w:r>
        <w:rPr>
          <w:rFonts w:ascii="Times New Roman" w:eastAsia="楷体" w:hAnsi="Times New Roman"/>
          <w:color w:val="auto"/>
        </w:rPr>
        <w:t>1</w:t>
      </w:r>
      <w:r>
        <w:rPr>
          <w:rFonts w:ascii="Times New Roman" w:eastAsia="楷体" w:hAnsi="Times New Roman" w:hint="eastAsia"/>
          <w:color w:val="auto"/>
        </w:rPr>
        <w:t>.</w:t>
      </w:r>
      <w:r>
        <w:rPr>
          <w:rFonts w:ascii="楷体" w:eastAsia="楷体" w:hAnsi="楷体" w:cs="仿宋" w:hint="eastAsia"/>
          <w:color w:val="auto"/>
        </w:rPr>
        <w:t>个别课程或稍有调整，请以平台最终发布课程为准；</w:t>
      </w:r>
    </w:p>
    <w:p w14:paraId="1E6D30CB" w14:textId="06D99E0A" w:rsidR="00ED3ECD" w:rsidRPr="00126D3F" w:rsidRDefault="00126D3F" w:rsidP="00126D3F">
      <w:pPr>
        <w:pStyle w:val="00"/>
        <w:spacing w:line="360" w:lineRule="exact"/>
        <w:ind w:rightChars="-27" w:right="-57" w:firstLineChars="300" w:firstLine="720"/>
        <w:rPr>
          <w:rFonts w:ascii="仿宋" w:eastAsia="仿宋" w:hAnsi="仿宋"/>
          <w:sz w:val="28"/>
          <w:szCs w:val="28"/>
        </w:rPr>
      </w:pPr>
      <w:r>
        <w:rPr>
          <w:rFonts w:ascii="Times New Roman" w:eastAsia="楷体" w:hAnsi="Times New Roman"/>
          <w:color w:val="auto"/>
        </w:rPr>
        <w:t>2.</w:t>
      </w:r>
      <w:r>
        <w:rPr>
          <w:rFonts w:ascii="楷体" w:eastAsia="楷体" w:hAnsi="楷体" w:cs="仿宋"/>
          <w:color w:val="auto"/>
        </w:rPr>
        <w:t>课程主讲人职务为课程录制时的职务</w:t>
      </w:r>
      <w:r>
        <w:rPr>
          <w:rFonts w:ascii="楷体" w:eastAsia="楷体" w:hAnsi="楷体" w:cs="仿宋" w:hint="eastAsia"/>
          <w:color w:val="auto"/>
        </w:rPr>
        <w:t>。</w:t>
      </w:r>
    </w:p>
    <w:sectPr w:rsidR="00ED3ECD" w:rsidRPr="00126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3F"/>
    <w:rsid w:val="00126D3F"/>
    <w:rsid w:val="00E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56BC"/>
  <w15:chartTrackingRefBased/>
  <w15:docId w15:val="{33006835-632D-47DA-B17F-E7831237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126D3F"/>
    <w:pPr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26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26D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00正文"/>
    <w:basedOn w:val="a"/>
    <w:qFormat/>
    <w:rsid w:val="00126D3F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  <w:style w:type="character" w:customStyle="1" w:styleId="10">
    <w:name w:val="标题 1 字符"/>
    <w:basedOn w:val="a0"/>
    <w:link w:val="1"/>
    <w:uiPriority w:val="9"/>
    <w:rsid w:val="00126D3F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妮妮 吴白</dc:creator>
  <cp:keywords/>
  <dc:description/>
  <cp:lastModifiedBy>妮妮 吴白</cp:lastModifiedBy>
  <cp:revision>1</cp:revision>
  <dcterms:created xsi:type="dcterms:W3CDTF">2020-11-11T02:32:00Z</dcterms:created>
  <dcterms:modified xsi:type="dcterms:W3CDTF">2020-11-11T02:32:00Z</dcterms:modified>
</cp:coreProperties>
</file>