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3119"/>
        </w:tabs>
        <w:spacing w:line="480" w:lineRule="exact"/>
        <w:jc w:val="lef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附件1</w:t>
      </w:r>
    </w:p>
    <w:p>
      <w:pPr>
        <w:pStyle w:val="6"/>
        <w:tabs>
          <w:tab w:val="left" w:pos="3119"/>
        </w:tabs>
        <w:spacing w:line="480" w:lineRule="exact"/>
        <w:ind w:left="6720" w:hanging="6720"/>
        <w:jc w:val="center"/>
        <w:rPr>
          <w:rFonts w:eastAsia="方正小标宋简体" w:cs="Times New Roman"/>
          <w:caps/>
          <w:sz w:val="32"/>
          <w:szCs w:val="32"/>
        </w:rPr>
      </w:pPr>
      <w:r>
        <w:rPr>
          <w:rFonts w:eastAsia="方正小标宋简体" w:cs="Times New Roman"/>
          <w:sz w:val="32"/>
          <w:szCs w:val="32"/>
        </w:rPr>
        <w:t>网络培训课程</w:t>
      </w:r>
      <w:r>
        <w:rPr>
          <w:rFonts w:hint="eastAsia" w:eastAsia="方正小标宋简体" w:cs="Times New Roman"/>
          <w:sz w:val="32"/>
          <w:szCs w:val="32"/>
        </w:rPr>
        <w:t>列</w:t>
      </w:r>
      <w:r>
        <w:rPr>
          <w:rFonts w:eastAsia="方正小标宋简体" w:cs="Times New Roman"/>
          <w:sz w:val="32"/>
          <w:szCs w:val="32"/>
        </w:rPr>
        <w:t>表 </w:t>
      </w:r>
    </w:p>
    <w:tbl>
      <w:tblPr>
        <w:tblStyle w:val="4"/>
        <w:tblW w:w="5000" w:type="pct"/>
        <w:tblInd w:w="0" w:type="dxa"/>
        <w:tblBorders>
          <w:top w:val="single" w:color="auto" w:sz="6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441"/>
        <w:gridCol w:w="994"/>
        <w:gridCol w:w="2408"/>
        <w:gridCol w:w="902"/>
      </w:tblGrid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  <w:t>模块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  <w:t>主讲人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  <w:t>职务职称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  <w:t>时长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18"/>
                <w:szCs w:val="18"/>
              </w:rPr>
              <w:t>（分钟）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6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学习政治理论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</w:rPr>
              <w:t>坚定政治立场</w:t>
            </w:r>
          </w:p>
        </w:tc>
        <w:tc>
          <w:tcPr>
            <w:tcW w:w="2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将“中国之治”推向更高境界——深入学习领会《习近平谈治国理政》第三卷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刘  春</w:t>
            </w: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中共中央党校（国家行政学院）教授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115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456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深入领会科学理论体系——学习《习近平新时代中国特色社会主义思想三十讲》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颜晓峰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天津大学马克思主义学院院长、教授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104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456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深入学习贯彻党的十九届四中全会精神，推进教育治理体系和治理能力现代化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张  力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国家教育咨询委员会秘书长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155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456" w:type="pct"/>
            <w:vMerge w:val="restart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学习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党内法规</w:t>
            </w:r>
          </w:p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规范行为作风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不断提高新发展党员的质量——关于《中国共产党发展党员工作细则》的学习与解读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元跃旗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北京市委党校党史党建教研部副教授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6" w:type="pct"/>
            <w:vMerge w:val="continue"/>
            <w:noWrap w:val="0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noWrap w:val="0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《中国共产党支部工作条例（试行）》解读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石国亮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首都师范大学马克思主义学院教授</w:t>
            </w:r>
          </w:p>
        </w:tc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456" w:type="pct"/>
            <w:vMerge w:val="continue"/>
            <w:noWrap w:val="0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shd w:val="clear" w:color="auto" w:fill="FCFCFC"/>
              <w:spacing w:before="0" w:beforeAutospacing="0" w:after="150" w:afterAutospacing="0"/>
              <w:jc w:val="both"/>
              <w:rPr>
                <w:rFonts w:ascii="仿宋" w:hAnsi="仿宋" w:eastAsia="仿宋" w:cs="Times New Roman"/>
                <w:bCs/>
                <w:color w:val="000000"/>
                <w:kern w:val="2"/>
              </w:rPr>
            </w:pPr>
            <w:r>
              <w:rPr>
                <w:rFonts w:ascii="仿宋" w:hAnsi="仿宋" w:eastAsia="仿宋" w:cs="Times New Roman"/>
                <w:bCs/>
                <w:color w:val="000000"/>
                <w:kern w:val="2"/>
              </w:rPr>
              <w:t>夯实基层党建最后一公里——《中国共产党党员教育管理工作条例》解读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陈冬生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中共中央党校（国家行政学院）教授</w:t>
            </w:r>
          </w:p>
        </w:tc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126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6" w:type="pct"/>
            <w:vMerge w:val="continue"/>
            <w:noWrap w:val="0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《 严格执行选举制度规定，提高党内选举质量——《中国共产党基层组织选举工作条例》解读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吕冬冬</w:t>
            </w: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北京市顺义区委党校教授</w:t>
            </w:r>
          </w:p>
        </w:tc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126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6" w:type="pct"/>
            <w:vMerge w:val="continue"/>
            <w:noWrap w:val="0"/>
            <w:vAlign w:val="center"/>
          </w:tcPr>
          <w:p>
            <w:pPr>
              <w:spacing w:after="100" w:afterAutospacing="1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noWrap w:val="0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新版《中国共产党纪律处分条例》解读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刘  春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中共中央党校（国家行政学院）教授</w:t>
            </w:r>
          </w:p>
        </w:tc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6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立足党建实务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提升履职能力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如何全面增强基层党组织的政治功能和组织力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杨云成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北京市委党校党史党建教研部副主任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6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切实掌握做好基层党务工作的方法与途径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元跃旗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北京市委党校党史党建教研部教授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6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noWrap w:val="0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新时代党支部工作的八大基本任务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曹鹏飞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中共中央党校（国家行政学院）教授</w:t>
            </w:r>
          </w:p>
        </w:tc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6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noWrap w:val="0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新形势下如何加强党员教育管理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路克利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中国人民大学习近平新时代中国特色社会主义思想研究院研究员</w:t>
            </w:r>
          </w:p>
        </w:tc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97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6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如何实施党员的量化管理和精准考核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赵建发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北京市朝阳区委组织部研究室主任</w:t>
            </w:r>
          </w:p>
        </w:tc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6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新时代稳妥有序开展不合格党员组织处置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  林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中共中央党校（国家行政学院）讲师</w:t>
            </w:r>
          </w:p>
        </w:tc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6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如何做好高校基层组织员工作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乔婧芳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浙江工业大学化学工程学院党委委员、组织员、精细化工党支部书记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76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6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“三会一课”教学片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  课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6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创新基层党组织“三会一课”的方法和途径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吕冬冬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中共北京市顺义区委党校教授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6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新时代党支部的组织生活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郇  雷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中共中央党校（国家行政学院）科学社会主义教研部副教授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6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入党积极分子的确定和培养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  课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6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发展对象的确定和考察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  课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6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预备党员的教育考察和转正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  课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56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党费收缴工作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  课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4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党课教育的主要内容和基本要求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  课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456" w:type="pct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支部党员大会的主要内容和程序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  课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4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党支部发展党员工作主要程序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  课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党支部开展民主评议党员工作主要程序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  课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支部党员大会讨论接收预备党员和预备党员转正的主要程序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  课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6" w:type="pct"/>
            <w:vMerge w:val="restart"/>
            <w:shd w:val="clear" w:color="auto" w:fill="auto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聚焦典型案例</w:t>
            </w:r>
          </w:p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拓展工作思路</w:t>
            </w:r>
          </w:p>
        </w:tc>
        <w:tc>
          <w:tcPr>
            <w:tcW w:w="20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以高质量党建引领和推动学院事业发展——全国党建工作标杆院系创建的思考与探索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黄  菊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中国地质大学(武汉)材料与化学学院党委书记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院系党建工作的探索和实践——以中国石油大学（华东）石油工程学院为例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赵放辉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中国石油大学（华东）石油工程学院党委书记、教授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抓党的建设 推动二级学院综合改革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王海龙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天津大学精密仪器与光电子工程学院党委书记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6" w:type="pct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旗帜引领守初心，实验教学以育人——关于加强高校基层党支部建设的思考  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徐庆红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北京化工大学教授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6" w:type="pct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写好新时代教师党支部建设的奋进之笔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姜晓东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华东师范大学生命科学学院生物学系教工党支部书记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6" w:type="pct"/>
            <w:vMerge w:val="continue"/>
            <w:shd w:val="clear" w:color="auto" w:fill="auto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夯实实践锻炼，强化实践引领——高校基层学生党支部建设的探索与思考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冯永龙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北京建筑大学测绘与城市空间信息学院党委副书记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6" w:type="pct"/>
            <w:vMerge w:val="continue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构建“党建+”工作模式 全面推进一流人才培养工作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田力娜等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上海外国语大学德语系党总支副书记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58</w:t>
            </w:r>
          </w:p>
        </w:tc>
      </w:tr>
    </w:tbl>
    <w:p>
      <w:pPr>
        <w:spacing w:line="360" w:lineRule="exact"/>
        <w:ind w:leftChars="-135" w:hanging="283" w:hangingChars="118"/>
        <w:jc w:val="left"/>
        <w:rPr>
          <w:rFonts w:ascii="Times New Roman" w:hAnsi="Times New Roman" w:eastAsia="仿宋" w:cs="Times New Roman"/>
          <w:color w:val="000000"/>
          <w:sz w:val="24"/>
          <w:szCs w:val="24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</w:rPr>
        <w:t>说明：1.个别课程或稍有调整，请以平台最终发布课程为准；</w:t>
      </w:r>
    </w:p>
    <w:p>
      <w:pPr>
        <w:spacing w:line="360" w:lineRule="exact"/>
        <w:ind w:left="1140" w:leftChars="200" w:hanging="720" w:hangingChars="300"/>
        <w:jc w:val="left"/>
        <w:rPr>
          <w:rFonts w:ascii="Times New Roman" w:hAnsi="Times New Roman" w:eastAsia="仿宋" w:cs="Times New Roman"/>
          <w:color w:val="000000"/>
          <w:sz w:val="24"/>
          <w:szCs w:val="24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</w:rPr>
        <w:t>2.课程主讲人职务为课程录制时的职务。</w:t>
      </w:r>
    </w:p>
    <w:p>
      <w:pPr>
        <w:rPr>
          <w:rFonts w:ascii="Times New Roman" w:hAnsi="Times New Roman" w:eastAsia="仿宋_GB2312" w:cs="Times New Roman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72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2020-11-13T01:23:24Z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