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auto"/>
        <w:rPr>
          <w:rStyle w:val="5"/>
          <w:rFonts w:hint="eastAsia" w:ascii="仿宋" w:hAnsi="仿宋" w:eastAsia="仿宋" w:cs="仿宋"/>
          <w:b w:val="0"/>
          <w:bCs w:val="0"/>
          <w:snapToGrid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bCs w:val="0"/>
          <w:snapToGrid w:val="0"/>
          <w:sz w:val="28"/>
          <w:szCs w:val="28"/>
        </w:rPr>
        <w:t>附件1</w:t>
      </w:r>
    </w:p>
    <w:p>
      <w:pPr>
        <w:pStyle w:val="2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Style w:val="5"/>
          <w:rFonts w:hint="eastAsia" w:ascii="黑体" w:hAnsi="黑体" w:eastAsia="黑体" w:cs="黑体"/>
          <w:b w:val="0"/>
          <w:bCs w:val="0"/>
          <w:snapToGrid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 w:val="0"/>
          <w:snapToGrid w:val="0"/>
          <w:sz w:val="32"/>
          <w:szCs w:val="32"/>
        </w:rPr>
        <w:t>必修课程列表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4202"/>
        <w:gridCol w:w="1242"/>
        <w:gridCol w:w="2157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 号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主讲人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单位与职务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学习领会党的十九届四中全会精神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颜晓峰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天津大学马克思主义学院院长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习近平新时代中国特色社会主义思想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专题片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系列专题片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党章及其发展历程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微课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系列微课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国际战略形势变化与中美俄战略博弈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姜春良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中国人民解放军军事科学院研究员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国际视野下的中国道路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张维为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复旦大学中国研究院院长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当代中国改革的历史进程与基本经验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严书翰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中共中央党校（国家行政学院）教授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发展对象的确定和考察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微课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微课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在真学真信中坚定理想信念，在学思践悟中牢记初心使命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陈冬生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中共中央党校(国家行政学院)党史教研部教授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新时代共产党人的历史使命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李海清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中共中央党校（国家行政学院）马克思主义学院教授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934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20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优秀党员事迹</w:t>
            </w:r>
          </w:p>
        </w:tc>
        <w:tc>
          <w:tcPr>
            <w:tcW w:w="1242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专题片</w:t>
            </w:r>
          </w:p>
        </w:tc>
        <w:tc>
          <w:tcPr>
            <w:tcW w:w="2157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系列专题片</w:t>
            </w:r>
          </w:p>
        </w:tc>
        <w:tc>
          <w:tcPr>
            <w:tcW w:w="132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spacing w:after="156" w:afterLines="50" w:line="480" w:lineRule="atLeast"/>
        <w:ind w:firstLine="22" w:firstLineChars="7"/>
        <w:jc w:val="left"/>
        <w:rPr>
          <w:rFonts w:hint="eastAsia" w:ascii="仿宋_GB2312" w:hAnsi="仿宋" w:eastAsia="仿宋_GB2312" w:cs="宋体"/>
          <w:b w:val="0"/>
          <w:bCs/>
          <w:kern w:val="0"/>
          <w:sz w:val="32"/>
          <w:szCs w:val="2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41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2020-12-28T00:13:04Z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