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附件</w:t>
      </w:r>
      <w:r>
        <w:rPr>
          <w:rFonts w:ascii="Times New Roman" w:hAnsi="Times New Roman" w:eastAsia="仿宋_GB2312" w:cs="Times New Roman"/>
          <w:sz w:val="30"/>
          <w:szCs w:val="30"/>
        </w:rPr>
        <w:t>1</w:t>
      </w:r>
    </w:p>
    <w:p>
      <w:pPr>
        <w:spacing w:after="100" w:afterAutospacing="1" w:line="360" w:lineRule="auto"/>
        <w:jc w:val="center"/>
        <w:rPr>
          <w:rFonts w:ascii="Times New Roman" w:hAnsi="Times New Roman" w:eastAsia="方正小标宋简体" w:cs="Times New Roman"/>
          <w:sz w:val="36"/>
          <w:szCs w:val="36"/>
        </w:rPr>
      </w:pPr>
      <w:bookmarkStart w:id="0" w:name="_Hlk482646315"/>
      <w:bookmarkStart w:id="1" w:name="_Hlk482646636"/>
      <w:r>
        <w:rPr>
          <w:rFonts w:ascii="Times New Roman" w:hAnsi="Times New Roman" w:eastAsia="方正小标宋简体" w:cs="Times New Roman"/>
          <w:sz w:val="36"/>
          <w:szCs w:val="36"/>
        </w:rPr>
        <w:t>年度自主选学部分课程展示</w:t>
      </w:r>
    </w:p>
    <w:tbl>
      <w:tblPr>
        <w:tblStyle w:val="3"/>
        <w:tblW w:w="489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957"/>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center"/>
              <w:rPr>
                <w:rFonts w:ascii="Times New Roman" w:hAnsi="Times New Roman" w:eastAsia="仿宋" w:cs="Times New Roman"/>
                <w:b/>
                <w:bCs/>
                <w:szCs w:val="21"/>
              </w:rPr>
            </w:pPr>
            <w:r>
              <w:rPr>
                <w:rFonts w:ascii="Times New Roman" w:hAnsi="Times New Roman" w:eastAsia="仿宋" w:cs="Times New Roman"/>
                <w:b/>
                <w:bCs/>
                <w:szCs w:val="21"/>
              </w:rPr>
              <w:t>课程名称</w:t>
            </w:r>
          </w:p>
        </w:tc>
        <w:tc>
          <w:tcPr>
            <w:tcW w:w="574" w:type="pct"/>
            <w:shd w:val="clear" w:color="auto" w:fill="auto"/>
            <w:vAlign w:val="center"/>
          </w:tcPr>
          <w:p>
            <w:pPr>
              <w:spacing w:line="400" w:lineRule="exact"/>
              <w:jc w:val="center"/>
              <w:rPr>
                <w:rFonts w:ascii="Times New Roman" w:hAnsi="Times New Roman" w:eastAsia="仿宋" w:cs="Times New Roman"/>
                <w:b/>
                <w:bCs/>
                <w:szCs w:val="21"/>
              </w:rPr>
            </w:pPr>
            <w:r>
              <w:rPr>
                <w:rFonts w:ascii="Times New Roman" w:hAnsi="Times New Roman" w:eastAsia="仿宋" w:cs="Times New Roman"/>
                <w:b/>
                <w:bCs/>
                <w:szCs w:val="21"/>
              </w:rPr>
              <w:t>主讲人</w:t>
            </w:r>
          </w:p>
        </w:tc>
        <w:tc>
          <w:tcPr>
            <w:tcW w:w="2131" w:type="pct"/>
            <w:shd w:val="clear" w:color="auto" w:fill="auto"/>
            <w:vAlign w:val="center"/>
          </w:tcPr>
          <w:p>
            <w:pPr>
              <w:spacing w:line="400" w:lineRule="exact"/>
              <w:jc w:val="center"/>
              <w:rPr>
                <w:rFonts w:ascii="Times New Roman" w:hAnsi="Times New Roman" w:eastAsia="仿宋" w:cs="Times New Roman"/>
                <w:b/>
                <w:bCs/>
                <w:szCs w:val="21"/>
              </w:rPr>
            </w:pPr>
            <w:r>
              <w:rPr>
                <w:rFonts w:ascii="Times New Roman" w:hAnsi="Times New Roman" w:eastAsia="仿宋" w:cs="Times New Roman"/>
                <w:b/>
                <w:bCs/>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将“中国之治”推向更高境界——深入学习领会《习近平谈治国理政》第三卷</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刘  春</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习近平新时代中国特色社会主义思想</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秦  刚</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习近平新时代中国特色社会主义思想产生的历史方位和现实意义</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洪向华</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习近平总书记2020年两会期间重要讲话精神解读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石国亮</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sz w:val="22"/>
              </w:rPr>
            </w:pPr>
            <w:r>
              <w:rPr>
                <w:rFonts w:ascii="Times New Roman" w:hAnsi="Times New Roman" w:eastAsia="仿宋" w:cs="Times New Roman"/>
                <w:sz w:val="22"/>
              </w:rPr>
              <w:t>习近平总书记关于党的建设的重要论述</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曹鹏飞</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习近平关于全面深化改革重要论述</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龚  云</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中国社会科学院习近平新时代中国特色社会主义思想研究中心执行副主任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sz w:val="22"/>
              </w:rPr>
            </w:pPr>
            <w:r>
              <w:rPr>
                <w:rFonts w:ascii="Times New Roman" w:hAnsi="Times New Roman" w:eastAsia="仿宋" w:cs="Times New Roman"/>
                <w:sz w:val="22"/>
              </w:rPr>
              <w:t>学习习近平总书记关于公共安全的重要论述</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马宝成</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学习领会习近平总书记关于国家安全的重要论述 坚持总体国家安全观</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刘跃进</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国际关系学院公共管理系教授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意识形态工作如何凝民心聚共识——习近平总书记关于意识形态工作重要讲话精神解读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做习近平新时代中国特色社会主义思想的坚定信仰者、忠实实践者</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黄相怀</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中共中央党校（国家行政学院）国家高端智库学术委员会秘书长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 w:val="22"/>
              </w:rPr>
            </w:pPr>
            <w:r>
              <w:rPr>
                <w:rFonts w:ascii="Times New Roman" w:hAnsi="Times New Roman" w:eastAsia="黑体" w:cs="Times New Roman"/>
                <w:bCs/>
                <w:sz w:val="22"/>
              </w:rPr>
              <w:t>党的十九届五中全会精神解读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党的十九届五中全会精神解读——“十四五”规划《建议》的重点和亮点</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rPr>
              <w:t>徐洪才</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持续提升国家治理效能</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rPr>
              <w:t>马宝成</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中共中央党校（国家行政学院）应急管理培训中心主任、教授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以制度型开放促进高质量发展</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张建平</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商务部国际贸易经济合作研究院区域经济合作研究中心主任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color w:val="000000"/>
                <w:sz w:val="22"/>
              </w:rPr>
              <w:t>“十四五”经济发展目标与构建新发展格局</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张  鹏</w:t>
            </w:r>
          </w:p>
        </w:tc>
        <w:tc>
          <w:tcPr>
            <w:tcW w:w="2131" w:type="pct"/>
            <w:shd w:val="clear" w:color="auto" w:fill="auto"/>
            <w:vAlign w:val="center"/>
          </w:tcPr>
          <w:p>
            <w:pPr>
              <w:spacing w:line="400" w:lineRule="exact"/>
              <w:rPr>
                <w:rFonts w:ascii="Times New Roman" w:hAnsi="Times New Roman" w:eastAsia="仿宋" w:cs="Times New Roman"/>
                <w:sz w:val="22"/>
              </w:rPr>
            </w:pPr>
            <w:r>
              <w:rPr>
                <w:rFonts w:ascii="Times New Roman" w:hAnsi="Times New Roman" w:eastAsia="仿宋" w:cs="Times New Roman"/>
                <w:sz w:val="22"/>
              </w:rPr>
              <w:t>中国财政科学研究院研究员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“十四五”规划中关于文化建设需要把握的几个重要问题</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rPr>
              <w:t>张国祚</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湖南大学马克思主义学院院长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不断提高社会治理水平</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color w:val="000000"/>
                <w:sz w:val="22"/>
              </w:rPr>
              <w:t>龚维斌</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color w:val="000000"/>
                <w:sz w:val="22"/>
              </w:rPr>
              <w:t>中共中央党校（国家行政学院）社会和生态文明教研部主任、教授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党章党规党纪教育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 xml:space="preserve">十九大党章解读系列微课 </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《中国共产党支部工作条例（试行）》解读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石国亮</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pStyle w:val="2"/>
              <w:shd w:val="clear" w:color="auto" w:fill="FCFCFC"/>
              <w:spacing w:line="400" w:lineRule="exact"/>
              <w:jc w:val="both"/>
              <w:rPr>
                <w:rFonts w:ascii="Times New Roman" w:hAnsi="Times New Roman" w:eastAsia="仿宋"/>
                <w:bCs/>
                <w:color w:val="auto"/>
                <w:kern w:val="2"/>
                <w:sz w:val="22"/>
              </w:rPr>
            </w:pPr>
            <w:r>
              <w:rPr>
                <w:rFonts w:ascii="Times New Roman" w:hAnsi="Times New Roman" w:eastAsia="仿宋"/>
                <w:bCs/>
                <w:color w:val="auto"/>
                <w:kern w:val="2"/>
                <w:sz w:val="22"/>
                <w:u w:val="none"/>
              </w:rPr>
              <w:t>夯实基层党建最后一公里——《中国共产党党员教育管理工作条例》解读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陈冬生</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《关于加强和改进中央和国家机关党的建设的意见》解读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曹鹏飞</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打铁还需自身硬——《中国共产党纪律检查机关监督执纪工作规则》 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贯彻落实《中国共产党宣传工作条例》，努力做好新时代宣传工作</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李  俭</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中共中央宣传部思想政治工作研究所研究员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《党政领导干部选拔任用工作条例》（新修订）解读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新时代如何科学考核评价激励干部——《关于进一步激励广大干部新时代新担当新作为的意见》解读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《中国共产党重大事项请示报告条例》解读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陈凯龙</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《中国共产党问责条例》修订意义与若干重点</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任  进</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新版《中国共产党纪律处分条例》解读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刘  春</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《中国共产党发展党员工作细则》解读</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孙  林</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基层党建工作实务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如何全面增强基层党组织的政治功能和组织力</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杨云成</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北京市委党校党史党建教研部副主任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 xml:space="preserve">切实掌握做好基层党务工作的方法与途径 </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元跃旗</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北京市委党校党史党建教研部教授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新媒体环境下如何加强基层党建宣传工作</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黄  颖</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北京市怀柔区委组织部研究室主任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大数据时代基层智慧党建的实践探索</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龚  云</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中国社会科学院习近平新时代中国特色社会主义思想研究中心执行副主任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新形势下如何加强党员教育管理</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路克利</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中国人民大学习近平新时代中国特色社会主义思想研究院研究员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如何实施党员的量化管理和精准考核</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赵建发</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朝阳区委组织部研究室主任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新时代党支部工作的八大基本任务</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曹鹏飞</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如何当好基层党支部书记</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李  伟</w:t>
            </w:r>
          </w:p>
        </w:tc>
        <w:tc>
          <w:tcPr>
            <w:tcW w:w="2131" w:type="pct"/>
            <w:shd w:val="clear" w:color="auto" w:fill="auto"/>
            <w:vAlign w:val="center"/>
          </w:tcPr>
          <w:p>
            <w:pPr>
              <w:spacing w:line="400" w:lineRule="exact"/>
              <w:rPr>
                <w:rFonts w:ascii="Times New Roman" w:hAnsi="Times New Roman" w:eastAsia="仿宋" w:cs="Times New Roman"/>
                <w:bCs/>
                <w:sz w:val="22"/>
              </w:rPr>
            </w:pPr>
            <w:r>
              <w:rPr>
                <w:rFonts w:ascii="Times New Roman" w:hAnsi="Times New Roman" w:eastAsia="仿宋" w:cs="Times New Roman"/>
                <w:bCs/>
                <w:sz w:val="22"/>
              </w:rPr>
              <w:t>中国青年政治学院马克思主义学院院长、教授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党支部工作实务系列微课</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textAlignment w:val="center"/>
              <w:rPr>
                <w:rFonts w:ascii="Times New Roman" w:hAnsi="Times New Roman" w:eastAsia="仿宋" w:cs="Times New Roman"/>
                <w:bCs/>
                <w:sz w:val="22"/>
              </w:rPr>
            </w:pPr>
            <w:r>
              <w:rPr>
                <w:rFonts w:ascii="Times New Roman" w:hAnsi="Times New Roman" w:eastAsia="仿宋" w:cs="Times New Roman"/>
                <w:bCs/>
                <w:sz w:val="22"/>
              </w:rPr>
              <w:t>“三会一课”教学片</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textAlignment w:val="center"/>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党费收缴工作</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党课教育的主要内容和基本要求</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党小组会的主要内容和程序</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党支部发展党员工作主要程序</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rPr>
                <w:rFonts w:ascii="Times New Roman" w:hAnsi="Times New Roman" w:eastAsia="仿宋" w:cs="Times New Roman"/>
                <w:bCs/>
                <w:sz w:val="22"/>
              </w:rPr>
            </w:pPr>
            <w:r>
              <w:rPr>
                <w:rFonts w:ascii="Times New Roman" w:hAnsi="Times New Roman" w:eastAsia="仿宋" w:cs="Times New Roman"/>
                <w:bCs/>
                <w:sz w:val="22"/>
              </w:rPr>
              <w:t>党支部开展民主评议党员工作主要程序</w:t>
            </w:r>
          </w:p>
        </w:tc>
        <w:tc>
          <w:tcPr>
            <w:tcW w:w="574" w:type="pct"/>
            <w:shd w:val="clear" w:color="auto" w:fill="auto"/>
            <w:vAlign w:val="center"/>
          </w:tcPr>
          <w:p>
            <w:pPr>
              <w:widowControl/>
              <w:spacing w:line="400" w:lineRule="exact"/>
              <w:jc w:val="center"/>
              <w:textAlignment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widowControl/>
              <w:spacing w:line="400" w:lineRule="exac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shd w:val="clear" w:color="auto" w:fill="E7E6E6" w:themeFill="background2"/>
            <w:vAlign w:val="center"/>
          </w:tcPr>
          <w:p>
            <w:pPr>
              <w:spacing w:line="400" w:lineRule="exact"/>
              <w:jc w:val="center"/>
              <w:rPr>
                <w:rFonts w:ascii="Times New Roman" w:hAnsi="Times New Roman" w:eastAsia="黑体" w:cs="Times New Roman"/>
                <w:bCs/>
                <w:szCs w:val="21"/>
              </w:rPr>
            </w:pPr>
            <w:r>
              <w:rPr>
                <w:rFonts w:ascii="Times New Roman" w:hAnsi="Times New Roman" w:eastAsia="黑体" w:cs="Times New Roman"/>
                <w:bCs/>
                <w:szCs w:val="21"/>
              </w:rPr>
              <w:t>党史、新中国史、改革开放史、社会主义发展史学习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shd w:val="clear" w:color="auto" w:fill="FCFCFC"/>
              </w:rPr>
              <w:t>中国共产党的创立</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祝  彦</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kern w:val="0"/>
                <w:sz w:val="22"/>
              </w:rPr>
              <w:t>开创农村革命根据地</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jc w:val="lef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国共两党与抗日战争</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卢  毅</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历史记忆中的长征</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bCs/>
                <w:sz w:val="22"/>
              </w:rPr>
              <w:t>微  课</w:t>
            </w:r>
          </w:p>
        </w:tc>
        <w:tc>
          <w:tcPr>
            <w:tcW w:w="2131" w:type="pct"/>
            <w:shd w:val="clear" w:color="auto" w:fill="auto"/>
            <w:vAlign w:val="center"/>
          </w:tcPr>
          <w:p>
            <w:pPr>
              <w:spacing w:line="400" w:lineRule="exact"/>
              <w:jc w:val="left"/>
              <w:rPr>
                <w:rFonts w:ascii="Times New Roman" w:hAnsi="Times New Roman" w:eastAsia="仿宋" w:cs="Times New Roman"/>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rPr>
              <w:t>新中国的诞生与社会主义制度的确立</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柳建辉</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kern w:val="0"/>
                <w:sz w:val="22"/>
              </w:rPr>
              <w:t>中华人民共和国成立70周年光辉历程</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祝  彦</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bCs/>
                <w:sz w:val="22"/>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kern w:val="0"/>
                <w:sz w:val="22"/>
              </w:rPr>
              <w:t>新中国70年发展与中国共产党的领导</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徐  斌</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北京师范大学马马克思主义学院教授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rPr>
                <w:rFonts w:ascii="Times New Roman" w:hAnsi="Times New Roman" w:eastAsia="仿宋" w:cs="Times New Roman"/>
                <w:kern w:val="0"/>
                <w:sz w:val="22"/>
              </w:rPr>
            </w:pPr>
            <w:r>
              <w:rPr>
                <w:rFonts w:ascii="Times New Roman" w:hAnsi="Times New Roman" w:eastAsia="仿宋" w:cs="Times New Roman"/>
                <w:sz w:val="22"/>
              </w:rPr>
              <w:t>从一穷二白到世界第二大经济体——建国70周年中国经济发展的回顾和展望</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王小鲁</w:t>
            </w:r>
          </w:p>
        </w:tc>
        <w:tc>
          <w:tcPr>
            <w:tcW w:w="2131"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中国改革基金会国民经济研究所副所长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rPr>
                <w:rFonts w:ascii="Times New Roman" w:hAnsi="Times New Roman" w:eastAsia="仿宋" w:cs="Times New Roman"/>
                <w:kern w:val="0"/>
                <w:sz w:val="22"/>
              </w:rPr>
            </w:pPr>
            <w:r>
              <w:rPr>
                <w:rFonts w:ascii="Times New Roman" w:hAnsi="Times New Roman" w:eastAsia="仿宋" w:cs="Times New Roman"/>
                <w:sz w:val="22"/>
              </w:rPr>
              <w:t>播撒公平正义的法治之光，让法治力量浸润人心——新中国成立70年来社会主义法治建设的成就与经验</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胡锦光</w:t>
            </w:r>
          </w:p>
        </w:tc>
        <w:tc>
          <w:tcPr>
            <w:tcW w:w="2131"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中国人民大学法学院教授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rPr>
                <w:rFonts w:ascii="Times New Roman" w:hAnsi="Times New Roman" w:eastAsia="仿宋" w:cs="Times New Roman"/>
                <w:kern w:val="0"/>
                <w:sz w:val="22"/>
              </w:rPr>
            </w:pPr>
            <w:r>
              <w:rPr>
                <w:rFonts w:ascii="Times New Roman" w:hAnsi="Times New Roman" w:eastAsia="仿宋" w:cs="Times New Roman"/>
                <w:sz w:val="22"/>
              </w:rPr>
              <w:t>从“一边倒”到“大国外交”——建国70周年新中国外交战略的演变及经验总结</w:t>
            </w:r>
          </w:p>
        </w:tc>
        <w:tc>
          <w:tcPr>
            <w:tcW w:w="574" w:type="pct"/>
            <w:shd w:val="clear" w:color="auto" w:fill="auto"/>
            <w:vAlign w:val="center"/>
          </w:tcPr>
          <w:p>
            <w:pPr>
              <w:spacing w:line="400" w:lineRule="exact"/>
              <w:jc w:val="center"/>
              <w:rPr>
                <w:rFonts w:ascii="Times New Roman" w:hAnsi="Times New Roman" w:eastAsia="仿宋" w:cs="Times New Roman"/>
                <w:sz w:val="22"/>
              </w:rPr>
            </w:pPr>
            <w:r>
              <w:rPr>
                <w:rFonts w:ascii="Times New Roman" w:hAnsi="Times New Roman" w:eastAsia="仿宋" w:cs="Times New Roman"/>
                <w:sz w:val="22"/>
              </w:rPr>
              <w:t>宋  伟</w:t>
            </w:r>
          </w:p>
        </w:tc>
        <w:tc>
          <w:tcPr>
            <w:tcW w:w="2131"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kern w:val="0"/>
                <w:sz w:val="22"/>
              </w:rPr>
              <w:t>从晴天一身灰、雨天一身泥到综合立体交通加速构建、海陆空四通八达——新中国成立70周年交通规划发展回顾与展望</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郭小碚</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国家发展和改革委员会综合运输研究所原所长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spacing w:line="400" w:lineRule="exact"/>
              <w:jc w:val="left"/>
              <w:rPr>
                <w:rFonts w:ascii="Times New Roman" w:hAnsi="Times New Roman" w:eastAsia="仿宋" w:cs="Times New Roman"/>
                <w:sz w:val="22"/>
              </w:rPr>
            </w:pPr>
            <w:r>
              <w:rPr>
                <w:rFonts w:ascii="Times New Roman" w:hAnsi="Times New Roman" w:eastAsia="仿宋" w:cs="Times New Roman"/>
                <w:sz w:val="22"/>
              </w:rPr>
              <w:t>改革开放四十年来四个历史阶段回顾</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高尚全</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中国经济体制改革研究会原名誉会长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95" w:type="pct"/>
            <w:shd w:val="clear" w:color="auto" w:fill="auto"/>
            <w:vAlign w:val="center"/>
          </w:tcPr>
          <w:p>
            <w:pPr>
              <w:widowControl/>
              <w:spacing w:line="400" w:lineRule="exact"/>
              <w:jc w:val="left"/>
              <w:textAlignment w:val="center"/>
              <w:rPr>
                <w:rFonts w:ascii="Times New Roman" w:hAnsi="Times New Roman" w:eastAsia="仿宋" w:cs="Times New Roman"/>
                <w:kern w:val="0"/>
                <w:sz w:val="22"/>
              </w:rPr>
            </w:pPr>
            <w:r>
              <w:rPr>
                <w:rFonts w:ascii="Times New Roman" w:hAnsi="Times New Roman" w:eastAsia="仿宋" w:cs="Times New Roman"/>
                <w:bCs/>
                <w:sz w:val="22"/>
              </w:rPr>
              <w:t>改革开放的展开与中国特色社会主义道路的开辟</w:t>
            </w:r>
          </w:p>
        </w:tc>
        <w:tc>
          <w:tcPr>
            <w:tcW w:w="574" w:type="pct"/>
            <w:shd w:val="clear" w:color="auto" w:fill="auto"/>
            <w:vAlign w:val="center"/>
          </w:tcPr>
          <w:p>
            <w:pPr>
              <w:spacing w:line="400" w:lineRule="exact"/>
              <w:jc w:val="center"/>
              <w:rPr>
                <w:rFonts w:ascii="Times New Roman" w:hAnsi="Times New Roman" w:eastAsia="仿宋" w:cs="Times New Roman"/>
                <w:bCs/>
                <w:sz w:val="22"/>
              </w:rPr>
            </w:pPr>
            <w:r>
              <w:rPr>
                <w:rFonts w:ascii="Times New Roman" w:hAnsi="Times New Roman" w:eastAsia="仿宋" w:cs="Times New Roman"/>
                <w:sz w:val="22"/>
                <w:shd w:val="clear" w:color="auto" w:fill="FCFCFC"/>
              </w:rPr>
              <w:t>曹  普</w:t>
            </w:r>
          </w:p>
        </w:tc>
        <w:tc>
          <w:tcPr>
            <w:tcW w:w="2131" w:type="pct"/>
            <w:shd w:val="clear" w:color="auto" w:fill="auto"/>
            <w:vAlign w:val="center"/>
          </w:tcPr>
          <w:p>
            <w:pPr>
              <w:spacing w:line="400" w:lineRule="exact"/>
              <w:jc w:val="left"/>
              <w:rPr>
                <w:rFonts w:ascii="Times New Roman" w:hAnsi="Times New Roman" w:eastAsia="仿宋" w:cs="Times New Roman"/>
                <w:bCs/>
                <w:sz w:val="22"/>
              </w:rPr>
            </w:pPr>
            <w:r>
              <w:rPr>
                <w:rFonts w:ascii="Times New Roman" w:hAnsi="Times New Roman" w:eastAsia="仿宋" w:cs="Times New Roman"/>
                <w:sz w:val="22"/>
                <w:shd w:val="clear" w:color="auto" w:fill="FCFCFC"/>
              </w:rPr>
              <w:t>中共中央党校（国家行政学院）全国党校教师进修学院院长</w:t>
            </w:r>
          </w:p>
        </w:tc>
      </w:tr>
      <w:bookmarkEnd w:id="0"/>
      <w:bookmarkEnd w:id="1"/>
    </w:tbl>
    <w:p>
      <w:pPr>
        <w:widowControl/>
        <w:rPr>
          <w:rFonts w:ascii="Times New Roman" w:hAnsi="Times New Roman" w:eastAsia="仿宋" w:cs="Times New Roman"/>
          <w:sz w:val="24"/>
          <w:szCs w:val="32"/>
        </w:rPr>
      </w:pPr>
      <w:r>
        <w:rPr>
          <w:rFonts w:ascii="Times New Roman" w:hAnsi="Times New Roman" w:eastAsia="仿宋" w:cs="Times New Roman"/>
          <w:b/>
          <w:bCs/>
          <w:sz w:val="24"/>
          <w:szCs w:val="32"/>
        </w:rPr>
        <w:t>说明：</w:t>
      </w:r>
      <w:r>
        <w:rPr>
          <w:rFonts w:ascii="Times New Roman" w:hAnsi="Times New Roman" w:eastAsia="仿宋" w:cs="Times New Roman"/>
          <w:sz w:val="24"/>
          <w:szCs w:val="32"/>
        </w:rPr>
        <w:t>课程资源会结合党和国家重要工作部署，不定期更新。</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1E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jc w:val="left"/>
    </w:pPr>
    <w:rPr>
      <w:rFonts w:ascii="Calibri" w:hAnsi="Calibri" w:eastAsia="宋体" w:cs="Times New Roman"/>
      <w:color w:val="CC0000"/>
      <w:kern w:val="0"/>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2021-01-30T06:35:48Z</dcterms:created>
  <dc:creator>liuqing</dc:creator>
  <cp:lastModifiedBy>liuqing</cp:lastModifiedBy>
  <dcterms:modified xsi:type="dcterms:W3CDTF">2021-01-30T06:36:19Z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