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ind w:left="-9" w:leftChars="-67" w:hanging="132" w:hangingChars="44"/>
        <w:rPr>
          <w:rFonts w:ascii="Times New Roman" w:hAnsi="Times New Roman" w:eastAsia="仿宋_GB2312" w:cs="Times New Roman"/>
          <w:bCs/>
          <w:sz w:val="30"/>
          <w:szCs w:val="30"/>
        </w:rPr>
      </w:pPr>
      <w:r>
        <w:rPr>
          <w:rFonts w:ascii="Times New Roman" w:hAnsi="Times New Roman" w:eastAsia="黑体" w:cs="Times New Roman"/>
          <w:bCs/>
          <w:sz w:val="30"/>
          <w:szCs w:val="30"/>
        </w:rPr>
        <w:t>附件</w:t>
      </w:r>
      <w:r>
        <w:rPr>
          <w:rFonts w:ascii="Times New Roman" w:hAnsi="Times New Roman" w:eastAsia="仿宋_GB2312" w:cs="Times New Roman"/>
          <w:bCs/>
          <w:sz w:val="30"/>
          <w:szCs w:val="30"/>
        </w:rPr>
        <w:t>1:</w:t>
      </w:r>
    </w:p>
    <w:p>
      <w:pPr>
        <w:spacing w:before="120" w:after="120" w:afterAutospacing="1"/>
        <w:jc w:val="center"/>
        <w:rPr>
          <w:rFonts w:hint="eastAsia" w:ascii="仿宋" w:hAnsi="仿宋" w:eastAsia="仿宋" w:cs="仿宋"/>
          <w:b/>
          <w:bCs w:val="0"/>
          <w:sz w:val="36"/>
          <w:szCs w:val="36"/>
        </w:rPr>
      </w:pPr>
      <w:bookmarkStart w:id="0" w:name="_GoBack"/>
      <w:r>
        <w:rPr>
          <w:rFonts w:hint="eastAsia" w:ascii="黑体" w:hAnsi="黑体" w:eastAsia="黑体" w:cs="黑体"/>
          <w:b/>
          <w:bCs w:val="0"/>
          <w:sz w:val="36"/>
          <w:szCs w:val="36"/>
        </w:rPr>
        <w:t>“党建时事大讲堂”系列专题网络培训计划表</w:t>
      </w:r>
      <w:bookmarkEnd w:id="0"/>
    </w:p>
    <w:tbl>
      <w:tblPr>
        <w:tblStyle w:val="4"/>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54"/>
        <w:gridCol w:w="2410"/>
        <w:gridCol w:w="6382"/>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285" w:type="pct"/>
            <w:vAlign w:val="center"/>
          </w:tcPr>
          <w:p>
            <w:pPr>
              <w:spacing w:before="120" w:after="120" w:line="400" w:lineRule="exact"/>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序号</w:t>
            </w:r>
          </w:p>
        </w:tc>
        <w:tc>
          <w:tcPr>
            <w:tcW w:w="923" w:type="pct"/>
            <w:vAlign w:val="center"/>
          </w:tcPr>
          <w:p>
            <w:pPr>
              <w:spacing w:before="120" w:after="120" w:line="400" w:lineRule="exact"/>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项目名称</w:t>
            </w:r>
          </w:p>
        </w:tc>
        <w:tc>
          <w:tcPr>
            <w:tcW w:w="871" w:type="pct"/>
            <w:vAlign w:val="center"/>
          </w:tcPr>
          <w:p>
            <w:pPr>
              <w:spacing w:before="120" w:after="120" w:line="400" w:lineRule="exact"/>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培训对象</w:t>
            </w:r>
          </w:p>
        </w:tc>
        <w:tc>
          <w:tcPr>
            <w:tcW w:w="2306" w:type="pct"/>
            <w:vAlign w:val="center"/>
          </w:tcPr>
          <w:p>
            <w:pPr>
              <w:spacing w:before="120" w:after="120" w:line="400" w:lineRule="exact"/>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内容要点</w:t>
            </w:r>
          </w:p>
        </w:tc>
        <w:tc>
          <w:tcPr>
            <w:tcW w:w="615" w:type="pct"/>
            <w:vAlign w:val="center"/>
          </w:tcPr>
          <w:p>
            <w:pPr>
              <w:pStyle w:val="2"/>
              <w:spacing w:before="156" w:after="156" w:line="400" w:lineRule="exact"/>
              <w:jc w:val="center"/>
              <w:rPr>
                <w:rFonts w:hint="default" w:ascii="Times New Roman" w:hAnsi="Times New Roman" w:eastAsia="仿宋"/>
                <w:color w:val="000000"/>
                <w:kern w:val="2"/>
                <w:sz w:val="24"/>
                <w:szCs w:val="24"/>
              </w:rPr>
            </w:pPr>
            <w:r>
              <w:rPr>
                <w:rFonts w:hint="default" w:ascii="Times New Roman" w:hAnsi="Times New Roman" w:eastAsia="仿宋"/>
                <w:color w:val="000000"/>
                <w:sz w:val="24"/>
                <w:szCs w:val="24"/>
              </w:rPr>
              <w:t>学习时长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8"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深入学习贯彻党的十九届五中全会精神专题网络培训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各社区及各机关企事业单位党政领导干部和党员等。</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培训将围绕党的十九届五中全会召开的历史背景和重要意义、“十四五”时期改革发展面临的新机遇、新挑战和新要求，以及《中共中央关于制定国民经济和社会发展第十四个五年规划和二</w:t>
            </w:r>
            <w:r>
              <w:rPr>
                <w:rFonts w:ascii="Times New Roman" w:hAnsi="Times New Roman" w:eastAsia="仿宋" w:cs="Times New Roman"/>
                <w:sz w:val="24"/>
              </w:rPr>
              <w:t>〇</w:t>
            </w:r>
            <w:r>
              <w:rPr>
                <w:rFonts w:ascii="Times New Roman" w:hAnsi="Times New Roman" w:eastAsia="仿宋_GB2312" w:cs="Times New Roman"/>
                <w:sz w:val="24"/>
              </w:rPr>
              <w:t>三五年远景目标的建议》的核心要义、2035年远景目标和“十四五”规划目标及指导思想、着力构建新发展格局、推动深层次改革和高水平开放、坚持以人民为中心的发展思想、加强党的全面领导等方面内容进行系统解读，引导机关企事业单位广大党政干部和党员深刻理解全会对新形势、新阶段、新理念、新格局做出的战略判断，全面领会《建议》中的新论断、新观点、新思想、新要求，准确把握“十四五”时期改革发展的宏观形势，推动经济社会高质量发展。</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4"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“学习党史、新中国史、改革开放史、社会主义发展史”专题网络培训</w:t>
            </w:r>
          </w:p>
        </w:tc>
        <w:tc>
          <w:tcPr>
            <w:tcW w:w="871" w:type="pct"/>
            <w:vAlign w:val="center"/>
          </w:tcPr>
          <w:p>
            <w:pPr>
              <w:spacing w:before="120" w:after="120" w:line="400" w:lineRule="exact"/>
              <w:jc w:val="left"/>
              <w:rPr>
                <w:rFonts w:ascii="Times New Roman" w:hAnsi="Times New Roman" w:eastAsia="仿宋_GB2312" w:cs="Times New Roman"/>
                <w:color w:val="000000"/>
                <w:sz w:val="24"/>
              </w:rPr>
            </w:pPr>
            <w:r>
              <w:rPr>
                <w:rFonts w:ascii="Times New Roman" w:hAnsi="Times New Roman" w:eastAsia="仿宋_GB2312" w:cs="Times New Roman"/>
                <w:sz w:val="24"/>
              </w:rPr>
              <w:t>各社区及各机关企事业单位党员、干部、员工与社区工作者、居民等。</w:t>
            </w:r>
          </w:p>
        </w:tc>
        <w:tc>
          <w:tcPr>
            <w:tcW w:w="2306"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szCs w:val="30"/>
              </w:rPr>
              <w:t>培训围绕“学党史，明初心，知使命”“学新中国史，坚定信念，砥砺前行”“学改革开放史，继往开来，迈向复兴”“学社会主义发展史，为人类对更好社会制度的探索提供中国方案”“学优秀传统文化 不断铸就中华文化新辉煌”五大课程模块设置课程内容，旨在提高党员干部把握党的领导制度，总结党的领导、执政及建设的理论与实践，展望中国共产党的未来发展，增强马克思主义政党历史使命感。</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新时代基层党组织书记履职能力提升专题网络培训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各级机关、企事业单位党委、党总支、党支部的书记、副书记、委员等党务工作者和广大党员干部。</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围绕习近平新时代中国特色社会主义思想、党章党规党纪、党史国史教育、党建实务和业务技能等设置培训课程，旨在引导基层党组织书记增强“四个意识”、坚定“四个自信”、做到“两个维护”，准确把握党建工作主要内容和工作要求，提升自身党务能力和业务能力，推动新时代党建工作高质量发展。</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85" w:type="pct"/>
            <w:vMerge w:val="restar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923" w:type="pct"/>
            <w:vMerge w:val="restar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筑理想 担使命 迎百年 高质量做好新时代发展党员工作网络培训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入党积极分子培训班</w:t>
            </w:r>
          </w:p>
        </w:tc>
        <w:tc>
          <w:tcPr>
            <w:tcW w:w="2306" w:type="pct"/>
            <w:vMerge w:val="restar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培训围绕习近平新时代中国特色社会主义思想、马克思主义基本理论、党的性质和宗旨、党的基本知识、党的历史和革命传统教育、党章党纪党规、形势政策教育、理想信念教育、爱国主义教育、党性修养提升、先进事迹学习等设置课程内容，旨在不断提高党员发展质量，推动党员发展规范化科学化建设。</w:t>
            </w:r>
          </w:p>
        </w:tc>
        <w:tc>
          <w:tcPr>
            <w:tcW w:w="615" w:type="pct"/>
            <w:vMerge w:val="restar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85" w:type="pct"/>
            <w:vMerge w:val="continue"/>
            <w:vAlign w:val="center"/>
          </w:tcPr>
          <w:p>
            <w:pPr>
              <w:spacing w:before="120" w:after="120" w:line="400" w:lineRule="exact"/>
              <w:jc w:val="center"/>
              <w:rPr>
                <w:rFonts w:ascii="Times New Roman" w:hAnsi="Times New Roman" w:eastAsia="仿宋_GB2312" w:cs="Times New Roman"/>
                <w:sz w:val="24"/>
              </w:rPr>
            </w:pPr>
          </w:p>
        </w:tc>
        <w:tc>
          <w:tcPr>
            <w:tcW w:w="923" w:type="pct"/>
            <w:vMerge w:val="continue"/>
            <w:vAlign w:val="center"/>
          </w:tcPr>
          <w:p>
            <w:pPr>
              <w:spacing w:before="120" w:after="120" w:line="400" w:lineRule="exact"/>
              <w:rPr>
                <w:rFonts w:ascii="Times New Roman" w:hAnsi="Times New Roman" w:eastAsia="仿宋_GB2312" w:cs="Times New Roman"/>
                <w:kern w:val="0"/>
                <w:sz w:val="24"/>
              </w:rPr>
            </w:pP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发展对象培训班</w:t>
            </w:r>
          </w:p>
        </w:tc>
        <w:tc>
          <w:tcPr>
            <w:tcW w:w="2306" w:type="pct"/>
            <w:vMerge w:val="continue"/>
            <w:vAlign w:val="center"/>
          </w:tcPr>
          <w:p>
            <w:pPr>
              <w:spacing w:before="120" w:after="120" w:line="400" w:lineRule="exact"/>
              <w:rPr>
                <w:rFonts w:ascii="Times New Roman" w:hAnsi="Times New Roman" w:eastAsia="仿宋_GB2312" w:cs="Times New Roman"/>
                <w:sz w:val="24"/>
              </w:rPr>
            </w:pPr>
          </w:p>
        </w:tc>
        <w:tc>
          <w:tcPr>
            <w:tcW w:w="615" w:type="pct"/>
            <w:vMerge w:val="continue"/>
            <w:vAlign w:val="center"/>
          </w:tcPr>
          <w:p>
            <w:pPr>
              <w:spacing w:before="120" w:after="120"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85" w:type="pct"/>
            <w:vMerge w:val="continue"/>
            <w:vAlign w:val="center"/>
          </w:tcPr>
          <w:p>
            <w:pPr>
              <w:spacing w:before="120" w:after="120" w:line="400" w:lineRule="exact"/>
              <w:jc w:val="center"/>
              <w:rPr>
                <w:rFonts w:ascii="Times New Roman" w:hAnsi="Times New Roman" w:eastAsia="仿宋_GB2312" w:cs="Times New Roman"/>
                <w:sz w:val="24"/>
              </w:rPr>
            </w:pPr>
          </w:p>
        </w:tc>
        <w:tc>
          <w:tcPr>
            <w:tcW w:w="923" w:type="pct"/>
            <w:vMerge w:val="continue"/>
            <w:vAlign w:val="center"/>
          </w:tcPr>
          <w:p>
            <w:pPr>
              <w:spacing w:before="120" w:after="120" w:line="400" w:lineRule="exact"/>
              <w:rPr>
                <w:rFonts w:ascii="Times New Roman" w:hAnsi="Times New Roman" w:eastAsia="仿宋_GB2312" w:cs="Times New Roman"/>
                <w:kern w:val="0"/>
                <w:sz w:val="24"/>
              </w:rPr>
            </w:pP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预备党员培训班</w:t>
            </w:r>
          </w:p>
        </w:tc>
        <w:tc>
          <w:tcPr>
            <w:tcW w:w="2306" w:type="pct"/>
            <w:vMerge w:val="continue"/>
            <w:vAlign w:val="center"/>
          </w:tcPr>
          <w:p>
            <w:pPr>
              <w:spacing w:before="120" w:after="120" w:line="400" w:lineRule="exact"/>
              <w:rPr>
                <w:rFonts w:ascii="Times New Roman" w:hAnsi="Times New Roman" w:eastAsia="仿宋_GB2312" w:cs="Times New Roman"/>
                <w:sz w:val="24"/>
              </w:rPr>
            </w:pPr>
          </w:p>
        </w:tc>
        <w:tc>
          <w:tcPr>
            <w:tcW w:w="615" w:type="pct"/>
            <w:vMerge w:val="continue"/>
            <w:vAlign w:val="center"/>
          </w:tcPr>
          <w:p>
            <w:pPr>
              <w:spacing w:before="120" w:after="120"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85" w:type="pct"/>
            <w:vMerge w:val="continue"/>
            <w:vAlign w:val="center"/>
          </w:tcPr>
          <w:p>
            <w:pPr>
              <w:spacing w:before="120" w:after="120" w:line="400" w:lineRule="exact"/>
              <w:jc w:val="center"/>
              <w:rPr>
                <w:rFonts w:ascii="Times New Roman" w:hAnsi="Times New Roman" w:eastAsia="仿宋_GB2312" w:cs="Times New Roman"/>
                <w:sz w:val="24"/>
              </w:rPr>
            </w:pPr>
          </w:p>
        </w:tc>
        <w:tc>
          <w:tcPr>
            <w:tcW w:w="923" w:type="pct"/>
            <w:vMerge w:val="continue"/>
            <w:vAlign w:val="center"/>
          </w:tcPr>
          <w:p>
            <w:pPr>
              <w:spacing w:before="120" w:after="120" w:line="400" w:lineRule="exact"/>
              <w:rPr>
                <w:rFonts w:ascii="Times New Roman" w:hAnsi="Times New Roman" w:eastAsia="仿宋_GB2312" w:cs="Times New Roman"/>
                <w:kern w:val="0"/>
                <w:sz w:val="24"/>
              </w:rPr>
            </w:pP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党员培训班</w:t>
            </w:r>
          </w:p>
        </w:tc>
        <w:tc>
          <w:tcPr>
            <w:tcW w:w="2306" w:type="pct"/>
            <w:vMerge w:val="continue"/>
            <w:vAlign w:val="center"/>
          </w:tcPr>
          <w:p>
            <w:pPr>
              <w:spacing w:before="120" w:after="120" w:line="400" w:lineRule="exact"/>
              <w:rPr>
                <w:rFonts w:ascii="Times New Roman" w:hAnsi="Times New Roman" w:eastAsia="仿宋_GB2312" w:cs="Times New Roman"/>
                <w:sz w:val="24"/>
              </w:rPr>
            </w:pPr>
          </w:p>
        </w:tc>
        <w:tc>
          <w:tcPr>
            <w:tcW w:w="615" w:type="pct"/>
            <w:vMerge w:val="continue"/>
            <w:vAlign w:val="center"/>
          </w:tcPr>
          <w:p>
            <w:pPr>
              <w:spacing w:before="120" w:after="120"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党风廉政与反腐倡廉建设专题网络培训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各级机关企事业单位纪委办公室、监察处、党委巡察工作办公室等相关负责同志；各二级单位基层纪检书记和委员。</w:t>
            </w:r>
          </w:p>
        </w:tc>
        <w:tc>
          <w:tcPr>
            <w:tcW w:w="2306"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培训围绕政策理论与思想引领、党的领导与组织保障、全面从严治党与政治建设、作风纪律建设与反腐败斗争、纪检监察体制改革与监督体系完善、岗位能力与队伍建设等设置内容，旨在引导各级领导干部要强化责任担当和规矩意识，充分发挥“头雁”作用，带头履行责任，敢于触及问题、善于化解矛盾、勇于担当作为，不断推动各项事业高质量发展。</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“加强党的宣传思想工作 讲好百年大党故事”专题网络培训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各社区及各机关企事业单位党员干部，重点是党组织的宣传委员等。</w:t>
            </w:r>
          </w:p>
        </w:tc>
        <w:tc>
          <w:tcPr>
            <w:tcW w:w="2306"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培训围绕习近平总书记《论党的宣传思想工作》一书中提出的一系列新思想新观点新论断设置培训课程，旨在引导广大党员干部深入学习贯彻习近平新时代中国特色社会主义思想，加强党对宣传思想工作全面领导，扎实做好宣传思想工作，牢牢把握正确舆论导向，掌握维护意识形态安全的主导权，为献礼建党一百周年，全面建设社会主义现代化国家开好局起好步提供坚强思想保证和强大精神力量。</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深入学习习近平法治思想 加强法治工作队伍建设专题网络培训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各社区及各机关企事业单位党员干部、法治工作相关负责同志。</w:t>
            </w:r>
          </w:p>
        </w:tc>
        <w:tc>
          <w:tcPr>
            <w:tcW w:w="2306"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培训将围绕完善单位法人治理结构，构建完善规章制度体系、法律风险防控体系建设，法治素养与依法办事能力提升、法治工作机制和队伍建设，机关企事业单位员工劳动与权益保护机制等内容进行课程设置，提高企事业单位治理体系和治理能力现代化水平。</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领导干部管理创新与治理能力提升培训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各级机关企事业单位中层干部。</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培训围绕“管理与治理”主题， 设置 政治理论修养、管理能力提升、治理能力提升、领导力提升、综合素养提升模块，旨在提高干部管理能力与治理能力。</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923" w:type="pc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勇挑重担 想干事能干事干成事—— 新时代年轻干部七大能力</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建设专题</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各级机关企事业单位年轻干部。</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培训围绕“七大能力建设”主题， 设置政治能力提升、调查研究能力提升、科学决策能力提升、应急处突能力提升、改革攻坚能力、抓落实能力模块，旨在提高年轻干部解决实际问题的能力。</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突发事件处置与网络舆情应对能力提升专题网络培训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各社区及各机关企事业单位领导干部。</w:t>
            </w:r>
          </w:p>
        </w:tc>
        <w:tc>
          <w:tcPr>
            <w:tcW w:w="2306"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培训围绕“突发事件与网络舆情”主题设置《突发事件应对法》解读、危机管理领导力建设、恐怖事件应对处置、突发事件心理危机干预、突发事件信息发布与舆情应对模块，旨在帮助各级企事业单位领导干部面对网络舆情时及时、有效的处理和开展工作。</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9"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kern w:val="0"/>
                <w:sz w:val="24"/>
              </w:rPr>
              <w:t>“关注心理健康 提升工作能力，做幸福的职业人” 专题网络培训</w:t>
            </w:r>
          </w:p>
        </w:tc>
        <w:tc>
          <w:tcPr>
            <w:tcW w:w="871"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各社区及各机关企事业单位党员、干部、社区工作者、员工等。</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围绕“心理分析与压力识别”“心理调适与压力管理”“沟通技巧与冲突处理”“社交礼仪与人际交往”“生活管理与职业规划”“文化浸润与修身智慧”“积极心态与幸福人生”等内容进行课程设置，引导领导干部员工增强自我心理调适能力，更有效处理工作、生活中所遇到的情绪困扰、人际交往等问题。</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8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923"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bCs/>
                <w:color w:val="000000"/>
                <w:kern w:val="0"/>
                <w:sz w:val="24"/>
              </w:rPr>
              <w:t>“弘扬优秀传统文化 筑牢企业文化发展之魂”专题网络培训</w:t>
            </w:r>
          </w:p>
        </w:tc>
        <w:tc>
          <w:tcPr>
            <w:tcW w:w="871" w:type="pct"/>
            <w:vAlign w:val="center"/>
          </w:tcPr>
          <w:p>
            <w:pPr>
              <w:spacing w:before="120" w:after="120" w:line="400" w:lineRule="exact"/>
              <w:rPr>
                <w:rFonts w:ascii="Times New Roman" w:hAnsi="Times New Roman" w:eastAsia="仿宋_GB2312" w:cs="Times New Roman"/>
                <w:sz w:val="24"/>
              </w:rPr>
            </w:pPr>
            <w:r>
              <w:rPr>
                <w:rFonts w:ascii="Times New Roman" w:hAnsi="Times New Roman" w:eastAsia="仿宋_GB2312" w:cs="Times New Roman"/>
                <w:sz w:val="24"/>
              </w:rPr>
              <w:t>各社区及各机关企事业单位党员、干部、员工与社区工作者、居民等。</w:t>
            </w:r>
          </w:p>
        </w:tc>
        <w:tc>
          <w:tcPr>
            <w:tcW w:w="2306" w:type="pct"/>
            <w:vAlign w:val="center"/>
          </w:tcPr>
          <w:p>
            <w:pPr>
              <w:spacing w:before="120" w:after="1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培训围绕“传统文化与人生智慧”“传统文化与管理智慧”“国学镜鉴与古代先贤”“企业文化与员工素养”“文化精粹与工作智慧”等内容进行课程设置，旨在引导领导干部了解中国优秀传统文化内涵，理解优秀传统文化的特征和魅力，增强企业凝聚力，提高企业生产力。</w:t>
            </w:r>
          </w:p>
        </w:tc>
        <w:tc>
          <w:tcPr>
            <w:tcW w:w="615" w:type="pct"/>
            <w:vAlign w:val="center"/>
          </w:tcPr>
          <w:p>
            <w:pPr>
              <w:spacing w:before="120" w:after="120"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3个月/40学时</w:t>
            </w:r>
          </w:p>
        </w:tc>
      </w:tr>
    </w:tbl>
    <w:p>
      <w:pPr>
        <w:spacing w:before="120" w:after="120"/>
        <w:ind w:left="851" w:hanging="853"/>
      </w:pPr>
      <w:r>
        <w:rPr>
          <w:rFonts w:ascii="Times New Roman" w:hAnsi="Times New Roman" w:eastAsia="仿宋_GB2312" w:cs="Times New Roman"/>
          <w:b/>
          <w:bCs/>
          <w:color w:val="0D0D0D"/>
          <w:sz w:val="24"/>
        </w:rPr>
        <w:t>说明</w:t>
      </w:r>
      <w:r>
        <w:rPr>
          <w:rFonts w:ascii="Times New Roman" w:hAnsi="Times New Roman" w:eastAsia="仿宋_GB2312" w:cs="Times New Roman"/>
          <w:color w:val="0D0D0D"/>
          <w:sz w:val="24"/>
        </w:rPr>
        <w:t>：上述项目收到通知后即可开始报名，随时滚动开班。</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A6F77"/>
    <w:rsid w:val="741125E6"/>
    <w:rsid w:val="773A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2021-02-03T03:36:00Z</dcterms:created>
  <dc:creator>孙赛</dc:creator>
  <cp:lastModifiedBy>孙赛</cp:lastModifiedBy>
  <dcterms:modified xsi:type="dcterms:W3CDTF">2021-02-03T03:37:59Z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