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5B" w:rsidRDefault="0037565B" w:rsidP="0037565B">
      <w:pPr>
        <w:spacing w:line="5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37565B" w:rsidRDefault="0037565B" w:rsidP="0037565B">
      <w:pPr>
        <w:widowControl/>
        <w:spacing w:line="600" w:lineRule="exact"/>
        <w:jc w:val="center"/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>湖南女子学院党校第七期预备党员培训班</w:t>
      </w:r>
    </w:p>
    <w:p w:rsidR="0037565B" w:rsidRPr="001C4325" w:rsidRDefault="0037565B" w:rsidP="0037565B">
      <w:pPr>
        <w:spacing w:line="500" w:lineRule="exact"/>
        <w:ind w:leftChars="304" w:left="1918" w:hangingChars="400" w:hanging="1280"/>
        <w:jc w:val="center"/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>网络培训必修课程列表</w:t>
      </w:r>
    </w:p>
    <w:tbl>
      <w:tblPr>
        <w:tblW w:w="8913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4417"/>
        <w:gridCol w:w="962"/>
        <w:gridCol w:w="2572"/>
      </w:tblGrid>
      <w:tr w:rsidR="0037565B" w:rsidRPr="00ED711B" w:rsidTr="0037565B">
        <w:trPr>
          <w:trHeight w:val="539"/>
        </w:trPr>
        <w:tc>
          <w:tcPr>
            <w:tcW w:w="962" w:type="dxa"/>
            <w:vAlign w:val="center"/>
          </w:tcPr>
          <w:p w:rsidR="0037565B" w:rsidRPr="00ED711B" w:rsidRDefault="0037565B" w:rsidP="003419F5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ED711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课程</w:t>
            </w:r>
          </w:p>
          <w:p w:rsidR="0037565B" w:rsidRPr="00ED711B" w:rsidRDefault="0037565B" w:rsidP="003419F5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ED711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4417" w:type="dxa"/>
            <w:vAlign w:val="center"/>
          </w:tcPr>
          <w:p w:rsidR="0037565B" w:rsidRPr="00ED711B" w:rsidRDefault="0037565B" w:rsidP="003419F5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ED711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62" w:type="dxa"/>
            <w:vAlign w:val="center"/>
          </w:tcPr>
          <w:p w:rsidR="0037565B" w:rsidRPr="00ED711B" w:rsidRDefault="0037565B" w:rsidP="003419F5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ED711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2572" w:type="dxa"/>
            <w:vAlign w:val="center"/>
          </w:tcPr>
          <w:p w:rsidR="0037565B" w:rsidRPr="00ED711B" w:rsidRDefault="0037565B" w:rsidP="003419F5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ED711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 w:rsidR="0037565B" w:rsidRPr="00ED711B" w:rsidTr="0037565B">
        <w:trPr>
          <w:trHeight w:val="641"/>
        </w:trPr>
        <w:tc>
          <w:tcPr>
            <w:tcW w:w="962" w:type="dxa"/>
            <w:vMerge w:val="restart"/>
            <w:vAlign w:val="center"/>
          </w:tcPr>
          <w:p w:rsidR="0037565B" w:rsidRPr="00ED711B" w:rsidRDefault="0037565B" w:rsidP="003419F5">
            <w:pPr>
              <w:widowControl/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37565B" w:rsidRPr="00ED711B" w:rsidRDefault="0037565B" w:rsidP="003419F5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（一）政治理论教育</w:t>
            </w: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/>
              </w:rPr>
              <w:t>深入领会科学理论体系——学习《习近平新时代中国特色社会主义思想三十讲》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颜晓峰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天津大学马克思主义学院院长、教授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widowControl/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党的十九届五中全会精神解读——“十四五”规划《建议》的重点和亮点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徐洪才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中国政策科学研究会经济政策委员会副主任</w:t>
            </w:r>
          </w:p>
        </w:tc>
      </w:tr>
      <w:tr w:rsidR="0037565B" w:rsidRPr="00ED711B" w:rsidTr="0037565B">
        <w:trPr>
          <w:trHeight w:val="63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spacing w:line="360" w:lineRule="auto"/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党和国家事业历史性、根本性的变革和成就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专题片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63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spacing w:line="360" w:lineRule="auto"/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百年变局与中美关系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金灿荣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中国人民大学国际关系学院教授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spacing w:line="360" w:lineRule="auto"/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增强树牢“四个意识”、坚定“四个自信”、践行“两个维护”的思想自觉和行动自觉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秦强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中宣部全国宣传干部学院教研部副主任、研究员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spacing w:line="360" w:lineRule="auto"/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党建领域重大风险及其防范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李志勇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（二）党史教育</w:t>
            </w: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党的创立和大革命的兴起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周良书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北京大学马克思主义学院教授</w:t>
            </w:r>
          </w:p>
        </w:tc>
      </w:tr>
      <w:tr w:rsidR="0037565B" w:rsidRPr="00ED711B" w:rsidTr="0037565B">
        <w:trPr>
          <w:trHeight w:val="933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中国社会主义制度的建立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李松林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首都师范大学马克思主义学院原院长、教授</w:t>
            </w:r>
          </w:p>
        </w:tc>
      </w:tr>
      <w:tr w:rsidR="0037565B" w:rsidRPr="00ED711B" w:rsidTr="0037565B">
        <w:trPr>
          <w:trHeight w:val="933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社会主义建设的伟大成就及探索中的曲折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纪亚光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南开大学马克思主义学院教授</w:t>
            </w:r>
          </w:p>
        </w:tc>
      </w:tr>
      <w:tr w:rsidR="0037565B" w:rsidRPr="00ED711B" w:rsidTr="0037565B">
        <w:trPr>
          <w:trHeight w:val="933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改革开放的历程和基本经验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王炳林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教育部高等学校社会科学发展研究中心主任</w:t>
            </w:r>
          </w:p>
        </w:tc>
      </w:tr>
      <w:tr w:rsidR="0037565B" w:rsidRPr="00ED711B" w:rsidTr="0037565B">
        <w:trPr>
          <w:trHeight w:val="933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共产国际与中国革命：经验与教训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祝彦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933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中国共产党的奋斗历程与优良传统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吴文珑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933"/>
        </w:trPr>
        <w:tc>
          <w:tcPr>
            <w:tcW w:w="962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（三）党章党规党纪</w:t>
            </w: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Style w:val="font111"/>
                <w:sz w:val="24"/>
              </w:rPr>
            </w:pPr>
            <w:r>
              <w:rPr>
                <w:rStyle w:val="font111"/>
                <w:rFonts w:hint="eastAsia"/>
                <w:sz w:val="24"/>
              </w:rPr>
              <w:t>深入学习十九大党章修正案，坚持制度治党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111"/>
                <w:rFonts w:hint="eastAsia"/>
                <w:sz w:val="24"/>
              </w:rPr>
              <w:t>孙熙国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111"/>
                <w:rFonts w:hint="eastAsia"/>
                <w:sz w:val="24"/>
              </w:rPr>
              <w:t>北京大学马克思主义学院教授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全面提高新时代党员教育培训工作质量——《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lang/>
              </w:rPr>
              <w:t>2019-2023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年全国党员教育培训工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作规划》解读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刘春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875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新时代党员教育管理工作的基本遵循——学习《中国共产党党员教育管理工作条例》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王莉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875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《中国共产党纪律处分条例》解读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任进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875"/>
        </w:trPr>
        <w:tc>
          <w:tcPr>
            <w:tcW w:w="962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（四）预备党员的教育考察和转正</w:t>
            </w:r>
          </w:p>
        </w:tc>
        <w:tc>
          <w:tcPr>
            <w:tcW w:w="441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预备党员如何度过预备期</w:t>
            </w:r>
          </w:p>
        </w:tc>
        <w:tc>
          <w:tcPr>
            <w:tcW w:w="962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孙宁</w:t>
            </w:r>
          </w:p>
        </w:tc>
        <w:tc>
          <w:tcPr>
            <w:tcW w:w="2572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中共北京市委党校党史党建教研部副教授</w:t>
            </w: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/>
                <w:kern w:val="0"/>
                <w:sz w:val="24"/>
              </w:rPr>
              <w:t>党员预备期的含义与意义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/>
                <w:kern w:val="0"/>
                <w:sz w:val="24"/>
              </w:rPr>
              <w:t>微  课</w:t>
            </w:r>
          </w:p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/>
                <w:kern w:val="0"/>
                <w:sz w:val="24"/>
              </w:rPr>
              <w:t>高校大学生预备党员系列微课</w:t>
            </w:r>
          </w:p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预备期的重要性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预备党员的教育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预备党员的考察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预备党员的转正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转正申请的写法和要求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入党宣誓的重要意义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入党宣誓仪式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如何提高预备党员的核心素质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准确掌握共产党员的标准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照一照“党员标准”这面镜子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409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ED711B">
              <w:rPr>
                <w:rFonts w:ascii="仿宋" w:eastAsia="仿宋" w:hAnsi="仿宋" w:hint="eastAsia"/>
                <w:kern w:val="0"/>
                <w:sz w:val="24"/>
              </w:rPr>
              <w:t>以实际行动，争取早日入党</w:t>
            </w: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37565B" w:rsidRPr="00ED711B" w:rsidRDefault="0037565B" w:rsidP="003419F5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Style w:val="font111"/>
                <w:rFonts w:hint="eastAsia"/>
                <w:b/>
                <w:bCs/>
                <w:sz w:val="24"/>
              </w:rPr>
              <w:t>（五）党性修养提升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理想信念与卓越人才培养——《习近平的七年知青岁月》导读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刘力波等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陕西师范大学副院长、教授等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新时代共产党员的党性修养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刘玉瑛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坚定理想信念锤炼党性修养——同新时代大学生党员谈理想信念和党性修养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高正礼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北京交通大学马克思主义学院院长、教授</w:t>
            </w:r>
          </w:p>
        </w:tc>
      </w:tr>
      <w:tr w:rsidR="0037565B" w:rsidRPr="00ED711B" w:rsidTr="0037565B">
        <w:trPr>
          <w:trHeight w:val="525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欲而不贪、宠辱不惊的人生智慧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7565B">
        <w:trPr>
          <w:trHeight w:val="436"/>
        </w:trPr>
        <w:tc>
          <w:tcPr>
            <w:tcW w:w="962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Style w:val="font111"/>
                <w:rFonts w:hint="eastAsia"/>
                <w:b/>
                <w:bCs/>
                <w:sz w:val="24"/>
              </w:rPr>
              <w:t>（六）榜样示范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甘洒鲜血染红旗——追忆我的父亲梁诚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梁宁宁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江西干部学院红军后代授课团成员</w:t>
            </w:r>
          </w:p>
        </w:tc>
      </w:tr>
      <w:tr w:rsidR="0037565B" w:rsidRPr="00ED711B" w:rsidTr="0037565B">
        <w:trPr>
          <w:trHeight w:val="436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如铁纪实万千字留与后人鉴丹心——萧锋夫妇的日记情怀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萧南溪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江西干部学院红军后代授课团成员</w:t>
            </w:r>
          </w:p>
        </w:tc>
      </w:tr>
      <w:tr w:rsidR="0037565B" w:rsidRPr="00ED711B" w:rsidTr="0037565B">
        <w:trPr>
          <w:trHeight w:val="436"/>
        </w:trPr>
        <w:tc>
          <w:tcPr>
            <w:tcW w:w="962" w:type="dxa"/>
            <w:vMerge/>
            <w:vAlign w:val="center"/>
          </w:tcPr>
          <w:p w:rsidR="0037565B" w:rsidRPr="00ED711B" w:rsidRDefault="0037565B" w:rsidP="003419F5">
            <w:pPr>
              <w:ind w:firstLine="48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父亲的选择、坚守与修为——赵尔陆的故事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赵珈珈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江西干部学院红军后代授课团成员</w:t>
            </w:r>
          </w:p>
        </w:tc>
      </w:tr>
    </w:tbl>
    <w:p w:rsidR="0037565B" w:rsidRDefault="0037565B" w:rsidP="0037565B">
      <w:pPr>
        <w:pStyle w:val="00"/>
        <w:spacing w:line="360" w:lineRule="exact"/>
        <w:ind w:rightChars="-27" w:right="-57" w:firstLineChars="0" w:firstLine="0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 w:hint="eastAsia"/>
          <w:color w:val="auto"/>
        </w:rPr>
        <w:t xml:space="preserve">    </w:t>
      </w: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37565B" w:rsidRDefault="0037565B" w:rsidP="0037565B">
      <w:pPr>
        <w:pStyle w:val="00"/>
        <w:spacing w:line="360" w:lineRule="exact"/>
        <w:ind w:rightChars="-27" w:right="-57" w:firstLineChars="300" w:firstLine="720"/>
        <w:rPr>
          <w:rFonts w:ascii="楷体" w:eastAsia="楷体" w:hAnsi="楷体" w:cs="仿宋"/>
          <w:color w:val="auto"/>
        </w:rPr>
      </w:pPr>
      <w:r>
        <w:rPr>
          <w:rFonts w:ascii="Times New Roman" w:eastAsia="楷体" w:hAnsi="Times New Roman" w:hint="eastAsia"/>
          <w:color w:val="auto"/>
        </w:rPr>
        <w:t xml:space="preserve">    </w:t>
      </w: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:rsidR="0037565B" w:rsidRPr="009A4405" w:rsidRDefault="0037565B" w:rsidP="0037565B">
      <w:pPr>
        <w:spacing w:line="500" w:lineRule="exact"/>
        <w:ind w:leftChars="304" w:left="1918" w:hangingChars="400" w:hanging="1280"/>
        <w:rPr>
          <w:rFonts w:ascii="仿宋" w:eastAsia="仿宋" w:hAnsi="仿宋" w:cs="仿宋" w:hint="eastAsia"/>
          <w:sz w:val="32"/>
          <w:szCs w:val="32"/>
        </w:rPr>
      </w:pPr>
    </w:p>
    <w:p w:rsidR="0037565B" w:rsidRDefault="0037565B" w:rsidP="0037565B">
      <w:pPr>
        <w:widowControl/>
        <w:spacing w:line="600" w:lineRule="exact"/>
        <w:jc w:val="center"/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lastRenderedPageBreak/>
        <w:t>湖南女子学院党校第七期预备党员培训班</w:t>
      </w:r>
    </w:p>
    <w:p w:rsidR="0037565B" w:rsidRDefault="0037565B" w:rsidP="0037565B">
      <w:pPr>
        <w:spacing w:line="500" w:lineRule="exact"/>
        <w:ind w:leftChars="304" w:left="1918" w:hangingChars="400" w:hanging="1280"/>
        <w:jc w:val="center"/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>网络培训选修课程列表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4371"/>
        <w:gridCol w:w="953"/>
        <w:gridCol w:w="2547"/>
      </w:tblGrid>
      <w:tr w:rsidR="0037565B" w:rsidRPr="00ED711B" w:rsidTr="003419F5">
        <w:trPr>
          <w:trHeight w:val="744"/>
          <w:tblHeader/>
        </w:trPr>
        <w:tc>
          <w:tcPr>
            <w:tcW w:w="953" w:type="dxa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ED711B">
              <w:rPr>
                <w:rFonts w:ascii="仿宋" w:eastAsia="仿宋" w:hAnsi="仿宋"/>
                <w:b/>
                <w:kern w:val="0"/>
                <w:sz w:val="24"/>
              </w:rPr>
              <w:t>课程</w:t>
            </w:r>
          </w:p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ED711B">
              <w:rPr>
                <w:rFonts w:ascii="仿宋" w:eastAsia="仿宋" w:hAnsi="仿宋"/>
                <w:b/>
                <w:kern w:val="0"/>
                <w:sz w:val="24"/>
              </w:rPr>
              <w:t>模块</w:t>
            </w:r>
          </w:p>
        </w:tc>
        <w:tc>
          <w:tcPr>
            <w:tcW w:w="4371" w:type="dxa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ED711B">
              <w:rPr>
                <w:rFonts w:ascii="仿宋" w:eastAsia="仿宋" w:hAnsi="仿宋"/>
                <w:b/>
                <w:kern w:val="0"/>
                <w:sz w:val="24"/>
              </w:rPr>
              <w:t>课程名称</w:t>
            </w:r>
          </w:p>
        </w:tc>
        <w:tc>
          <w:tcPr>
            <w:tcW w:w="953" w:type="dxa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ED711B">
              <w:rPr>
                <w:rFonts w:ascii="仿宋" w:eastAsia="仿宋" w:hAnsi="仿宋"/>
                <w:b/>
                <w:kern w:val="0"/>
                <w:sz w:val="24"/>
              </w:rPr>
              <w:t>主讲人</w:t>
            </w:r>
          </w:p>
        </w:tc>
        <w:tc>
          <w:tcPr>
            <w:tcW w:w="2547" w:type="dxa"/>
            <w:vAlign w:val="center"/>
          </w:tcPr>
          <w:p w:rsidR="0037565B" w:rsidRPr="00ED711B" w:rsidRDefault="0037565B" w:rsidP="003419F5">
            <w:pPr>
              <w:ind w:firstLine="482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</w:rPr>
            </w:pPr>
            <w:r w:rsidRPr="00ED711B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（一）道德修养与法律基础</w:t>
            </w: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科学道德与学风建设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李静静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中国石油大学（北京）马克思主义学院教师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国学·修身之道——儒家的道德精神系列微课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李景林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北京师范大学哲学学院教授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学生的法律地位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李德嘉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北京师范大学法学院讲师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法律基础知识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王俊伟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辽宁华昊律师事务所合伙人律师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（二）学习方法与科研能力</w:t>
            </w: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国学·修身之道——读《四书》，谈学习系列微课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陆林祥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文化人的幸福生活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赵庆杰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中国政法大学马克思主义学院教授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科研选题原则及途径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张伟刚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南开大学教务处副处长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科研论文的撰写方略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张伟刚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南开大学教务处副处长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（三）职业规划与就业指导</w:t>
            </w: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大学生职业生涯规划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蒋建荣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南开大学周恩来政府管理学院副教授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职业心理素养与竞争力提升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汤文颖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河北行政学院教授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极简创业方法：精益创业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王欢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中关村加一战略新兴产业人才发展中心研发部主任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互联网与新就业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陈荣凯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美团点评副总裁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（四）人际交往与沟通艺术</w:t>
            </w: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人际关系的建立与调适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樊富珉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清华大学社会科学学院心理学系副主任、教授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学会倾听：拉近彼此的心理距离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赵了了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职场沟通与情绪管理专家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《传习录》与阳明心学智慧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乔清举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海纳百川、兼容并蓄的包容智慧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王杰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中共中央党校（国家行政学院）教授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 w:val="restart"/>
            <w:vAlign w:val="center"/>
          </w:tcPr>
          <w:p w:rsidR="0037565B" w:rsidRPr="00ED711B" w:rsidRDefault="0037565B" w:rsidP="003419F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（五）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  <w:t>心理健康与压力管理</w:t>
            </w: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压力管理与心理健康促进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樊富珉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清华大学社会科学学院心理学系副主任、教授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widowControl/>
              <w:ind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压力与情绪管理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郑日昌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北京师范大学辅仁应用心理发展中心主任、教授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widowControl/>
              <w:ind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控制情绪：头脑冷静才能说得清楚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赵了了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职场沟通与情绪管理专家</w:t>
            </w:r>
          </w:p>
        </w:tc>
      </w:tr>
      <w:tr w:rsidR="0037565B" w:rsidRPr="00ED711B" w:rsidTr="003419F5">
        <w:trPr>
          <w:trHeight w:val="744"/>
        </w:trPr>
        <w:tc>
          <w:tcPr>
            <w:tcW w:w="953" w:type="dxa"/>
            <w:vMerge/>
          </w:tcPr>
          <w:p w:rsidR="0037565B" w:rsidRPr="00ED711B" w:rsidRDefault="0037565B" w:rsidP="003419F5">
            <w:pPr>
              <w:widowControl/>
              <w:ind w:firstLine="4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371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情绪管理的快速实践方法</w:t>
            </w:r>
          </w:p>
        </w:tc>
        <w:tc>
          <w:tcPr>
            <w:tcW w:w="953" w:type="dxa"/>
            <w:vAlign w:val="center"/>
          </w:tcPr>
          <w:p w:rsidR="0037565B" w:rsidRDefault="0037565B" w:rsidP="003419F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高子馨</w:t>
            </w:r>
          </w:p>
        </w:tc>
        <w:tc>
          <w:tcPr>
            <w:tcW w:w="2547" w:type="dxa"/>
            <w:vAlign w:val="center"/>
          </w:tcPr>
          <w:p w:rsidR="0037565B" w:rsidRDefault="0037565B" w:rsidP="003419F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情商管理培训师、原德国阿尔诺大区副总裁</w:t>
            </w:r>
          </w:p>
        </w:tc>
      </w:tr>
    </w:tbl>
    <w:p w:rsidR="0037565B" w:rsidRDefault="0037565B" w:rsidP="0037565B">
      <w:pPr>
        <w:pStyle w:val="00"/>
        <w:spacing w:line="360" w:lineRule="exact"/>
        <w:ind w:leftChars="-1" w:left="-2" w:rightChars="-27" w:right="-57" w:firstLineChars="0" w:firstLine="0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 w:hint="eastAsia"/>
          <w:color w:val="auto"/>
        </w:rPr>
        <w:t xml:space="preserve">    </w:t>
      </w: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37565B" w:rsidRDefault="0037565B" w:rsidP="0037565B">
      <w:pPr>
        <w:pStyle w:val="00"/>
        <w:spacing w:line="360" w:lineRule="exact"/>
        <w:ind w:leftChars="202" w:left="424" w:rightChars="-27" w:right="-57" w:firstLineChars="100" w:firstLine="240"/>
        <w:rPr>
          <w:rFonts w:ascii="楷体" w:eastAsia="楷体" w:hAnsi="楷体" w:cs="仿宋"/>
          <w:color w:val="auto"/>
        </w:rPr>
      </w:pPr>
      <w:r>
        <w:rPr>
          <w:rFonts w:ascii="Times New Roman" w:eastAsia="楷体" w:hAnsi="Times New Roman" w:hint="eastAsia"/>
          <w:color w:val="auto"/>
        </w:rPr>
        <w:t xml:space="preserve">    </w:t>
      </w: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:rsidR="00CB3FC7" w:rsidRPr="0037565B" w:rsidRDefault="00CB3FC7"/>
    <w:sectPr w:rsidR="00CB3FC7" w:rsidRPr="0037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FC7" w:rsidRDefault="00CB3FC7" w:rsidP="0037565B">
      <w:r>
        <w:separator/>
      </w:r>
    </w:p>
  </w:endnote>
  <w:endnote w:type="continuationSeparator" w:id="1">
    <w:p w:rsidR="00CB3FC7" w:rsidRDefault="00CB3FC7" w:rsidP="0037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FC7" w:rsidRDefault="00CB3FC7" w:rsidP="0037565B">
      <w:r>
        <w:separator/>
      </w:r>
    </w:p>
  </w:footnote>
  <w:footnote w:type="continuationSeparator" w:id="1">
    <w:p w:rsidR="00CB3FC7" w:rsidRDefault="00CB3FC7" w:rsidP="0037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65B"/>
    <w:rsid w:val="0037565B"/>
    <w:rsid w:val="00CB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7565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6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65B"/>
    <w:rPr>
      <w:sz w:val="18"/>
      <w:szCs w:val="18"/>
    </w:rPr>
  </w:style>
  <w:style w:type="character" w:customStyle="1" w:styleId="font111">
    <w:name w:val="font111"/>
    <w:basedOn w:val="a0"/>
    <w:qFormat/>
    <w:rsid w:val="0037565B"/>
    <w:rPr>
      <w:rFonts w:ascii="仿宋" w:eastAsia="仿宋" w:hAnsi="仿宋" w:cs="仿宋"/>
      <w:color w:val="000000"/>
      <w:sz w:val="28"/>
      <w:szCs w:val="28"/>
      <w:u w:val="none"/>
    </w:rPr>
  </w:style>
  <w:style w:type="paragraph" w:customStyle="1" w:styleId="00">
    <w:name w:val="00正文"/>
    <w:basedOn w:val="a"/>
    <w:qFormat/>
    <w:rsid w:val="0037565B"/>
    <w:pPr>
      <w:widowControl/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szCs w:val="22"/>
    </w:rPr>
  </w:style>
  <w:style w:type="character" w:customStyle="1" w:styleId="1Char">
    <w:name w:val="标题 1 Char"/>
    <w:basedOn w:val="a0"/>
    <w:link w:val="1"/>
    <w:uiPriority w:val="9"/>
    <w:rsid w:val="0037565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2021-04-14T00:35:00Z</dcterms:created>
  <dcterms:modified xsi:type="dcterms:W3CDTF">2021-04-14T00:36:00Z</dcterms:modified>
</cp:coreProperties>
</file>