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0"/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bookmarkStart w:id="0" w:name="_Hlk63073300"/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2021年新疆兵团评价改革专题基础教育管理者学习班日程安排表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5"/>
        <w:gridCol w:w="3885"/>
        <w:gridCol w:w="875"/>
        <w:gridCol w:w="2488"/>
        <w:gridCol w:w="5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8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“十四五”时期教育现代化的形势与政策要点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  力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国家教育咨询委员会秘书长、国家督学、教育部教育发展研究中心原主任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刘自成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教育部综改司司长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深化教育评价改革 引领基础教育高质量发展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吕玉刚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教育部基教司司长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改革教师评价 建设高素质专业化创新型教师队伍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任友群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教育部教师工作司司长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</w:t>
            </w:r>
            <w:r>
              <w:rPr>
                <w:rFonts w:hint="eastAsia" w:ascii="仿宋" w:hAnsi="仿宋" w:eastAsia="仿宋" w:cs="仿宋"/>
                <w:szCs w:val="21"/>
              </w:rPr>
              <w:t>：中小学校（幼儿园）如何进行教育评价改革，推进落实立德树人根本任务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深化基础教育综合改革 全面提升基础教育质量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吕玉刚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教育部基教司司长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贯彻评价《总体方案》精神 推进体育美育评价改革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教育部体卫艺司司长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努力构建更高水平的基础教育人才培养体系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李希贵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北京十一学校联盟总校校长，中国教育学会副会长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pStyle w:val="3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</w:rPr>
              <w:t>如何深化基础教育综合改革 全面提升基础教育质量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改革开放以来我国学前教育发展与政策变革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贺敬雯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沈阳师范大学学前与初等教育学院学前教育二系主任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营利与非营利时代民办幼儿园发展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相关法律政策的把握和操作策略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王海英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南京师范大学学前教育政策研究中心主任、教授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推进学前教育普惠优质发展 实现幼有所育——《关于学前教育深化改革规范发展的若干意见》解读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易凌云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中国教育科学研究院基础教育研究所副所长，研究员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让每个孩子享有公平而有质量的教育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——《关于深化教育教学改革全面提高义务教育质量的意见》解读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王晓燕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教育部教育发展研究中心国际比较与对外交流部主任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《关于新时代推进普通高中育人方式改革的指导意见》政策解读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姜朝晖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中国教育科学研究院副研究员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终身教育理念下我国基础教育改革的方向与路径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杨小微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华东师范大学基础教育改革与发展研究所所长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如何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HYPERLINK "https://study.enaea.edu.cn/kecheng/detail_284879" \o "构建立德树人落实的系统化机制" \t "https://study.enaea.edu.cn/_blank"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ascii="仿宋" w:hAnsi="仿宋" w:eastAsia="仿宋" w:cs="仿宋"/>
                <w:szCs w:val="21"/>
              </w:rPr>
              <w:t>构建立德树人落实的</w:t>
            </w:r>
            <w:r>
              <w:rPr>
                <w:rFonts w:hint="eastAsia" w:ascii="仿宋" w:hAnsi="仿宋" w:eastAsia="仿宋" w:cs="仿宋"/>
                <w:szCs w:val="21"/>
              </w:rPr>
              <w:t>体</w: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制机制，全面推进基础教育高质量发展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第四天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创新教育评价体系 强化科学发展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胡平平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教育部基础教育质量监测中心副主任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深化考试招生制度改革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张志勇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北京师范大学中国教育政策研究院执行院长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教育质量与教育质量观——建立中国特色的教育评价制度（一）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赵学勤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教育评价的概念与理论——建立中国特色的教育评价制度（二）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赵学勤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教育评价制度建设——建设中国特色的教育评价制度（三）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赵学勤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不唯分数：深化教育质量评价和考试招生制度改革政策解读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秦建平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中国教育学会中小学教育质量综合评价办公室主任、研究员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落实不唯分数：教育质量综合评价政策实施案例与分析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秦建平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中国教育学会中小学教育质量综合评价办公室主任、研究员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从教师的自主发展出发——对有效教师评价的思考与实践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王玉萍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北京市海淀区实验中学党委书记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中小学管理与督导评估的观念、方法与技能化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王建宗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北京市西城区教育研修学院党委书记，国家教育行政学院兼职教授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中小学教育质量监控与评估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陈牛则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湖南师范大学教育科学学院副教授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四维评价——助力学生全面而有个性的成长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乔长虹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上海市华东理工大学附属闵行科技高级中学校长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幼儿园办园条件督导评估指标与要点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周丛笑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湖南省教科院学前与特殊教育研究室副主任研究员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幼儿园保育教育督导评估——以湖南省幼儿园保育教育督导评估为例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 洁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湖南省长沙市教育局幼儿园园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如何组织实施办学质量综合考评——青岛市崂山区实践与探索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王文艳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山东省教育督导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中小学（幼儿园）落实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《深化新时代教育评价改革总体方案》的探索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第五天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高考综合改革与普通高中育人方式变革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杨振峰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上海市教育委员会基础教育处处长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变革学校组织结构 促进学校自主发展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李晓辉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北京师范大学附属实验学校校长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校长专业标准视角下的学校发展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刘永胜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北京市光明小学原校长、全国小学教育专业委员会副理事长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“十四五”规划与学校发展提升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晏  庆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重庆市马家堡小学校长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学校中层干部角色定位及有效管理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黄银美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江苏省南京市小学教师培训中心副主任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“立德树人”与“五育并举”的校本规划和办学特色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周  颖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江苏省苏州第十中学校校长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以美育美——学校美育规划与思考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金  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兰州市水车园教育集团总校长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“十四五”基础教育学校治理现代化探索与创新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</w:tbl>
    <w:p>
      <w:r>
        <w:rPr>
          <w:rFonts w:ascii="方正仿宋简体" w:hAnsi="方正仿宋简体" w:eastAsia="方正仿宋简体" w:cs="仿宋"/>
          <w:kern w:val="0"/>
          <w:sz w:val="24"/>
          <w:szCs w:val="24"/>
          <w:lang w:bidi="ar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5A58"/>
    <w:rsid w:val="464F3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ind w:left="103"/>
      <w:jc w:val="left"/>
    </w:pPr>
    <w:rPr>
      <w:rFonts w:ascii="Arial Unicode MS" w:hAnsi="Times New Roman" w:eastAsia="Arial Unicode MS" w:cs="Arial Unicode MS"/>
      <w:kern w:val="0"/>
      <w:sz w:val="24"/>
      <w:szCs w:val="24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2021-05-07T08:51:57Z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282C3F27C7B248AE99D7BFE3AF6278E5</vt:lpwstr>
  </property>
</Properties>
</file>