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leftChars="-135" w:hanging="282" w:hangingChars="94"/>
        <w:jc w:val="left"/>
        <w:rPr>
          <w:rFonts w:ascii="Times New Roman" w:hAnsi="Times New Roman" w:eastAsia="黑体" w:cs="Times New Roman"/>
          <w:sz w:val="30"/>
          <w:szCs w:val="30"/>
        </w:rPr>
      </w:pPr>
      <w:r>
        <w:rPr>
          <w:rFonts w:ascii="Times New Roman" w:hAnsi="Times New Roman" w:eastAsia="黑体" w:cs="Times New Roman"/>
          <w:sz w:val="30"/>
          <w:szCs w:val="30"/>
        </w:rPr>
        <w:t>附件1</w:t>
      </w:r>
    </w:p>
    <w:p>
      <w:pPr>
        <w:jc w:val="center"/>
        <w:rPr>
          <w:rFonts w:ascii="Times New Roman" w:hAnsi="Times New Roman" w:eastAsia="方正小标宋简体" w:cs="Times New Roman"/>
          <w:sz w:val="30"/>
          <w:szCs w:val="30"/>
        </w:rPr>
      </w:pPr>
      <w:r>
        <w:rPr>
          <w:rFonts w:hint="eastAsia" w:ascii="Times New Roman" w:hAnsi="Times New Roman" w:eastAsia="方正小标宋简体" w:cs="Times New Roman"/>
          <w:sz w:val="30"/>
          <w:szCs w:val="30"/>
        </w:rPr>
        <w:t>“建党百年映初心 党建引领显力量”</w:t>
      </w:r>
    </w:p>
    <w:p>
      <w:pPr>
        <w:jc w:val="center"/>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第四期高校基层党务工作者履职能力提升专题</w:t>
      </w:r>
      <w:r>
        <w:rPr>
          <w:rFonts w:hint="eastAsia" w:ascii="Times New Roman" w:hAnsi="Times New Roman" w:eastAsia="方正小标宋简体" w:cs="Times New Roman"/>
          <w:sz w:val="30"/>
          <w:szCs w:val="30"/>
        </w:rPr>
        <w:t xml:space="preserve">网络培训      </w:t>
      </w:r>
      <w:r>
        <w:rPr>
          <w:rFonts w:ascii="Times New Roman" w:hAnsi="Times New Roman" w:eastAsia="方正小标宋简体" w:cs="Times New Roman"/>
          <w:sz w:val="30"/>
          <w:szCs w:val="30"/>
        </w:rPr>
        <w:t>课程列表</w:t>
      </w:r>
    </w:p>
    <w:tbl>
      <w:tblPr>
        <w:tblStyle w:val="4"/>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969"/>
        <w:gridCol w:w="113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7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Times New Roman"/>
                <w:b/>
                <w:sz w:val="24"/>
                <w:szCs w:val="24"/>
              </w:rPr>
            </w:pPr>
            <w:r>
              <w:rPr>
                <w:rFonts w:ascii="仿宋" w:hAnsi="仿宋" w:eastAsia="仿宋" w:cs="Times New Roman"/>
                <w:b/>
                <w:sz w:val="24"/>
                <w:szCs w:val="24"/>
              </w:rPr>
              <w:t>课程</w:t>
            </w:r>
            <w:r>
              <w:rPr>
                <w:rFonts w:hint="eastAsia" w:ascii="仿宋" w:hAnsi="仿宋" w:eastAsia="仿宋" w:cs="Times New Roman"/>
                <w:b/>
                <w:sz w:val="24"/>
                <w:szCs w:val="24"/>
              </w:rPr>
              <w:t xml:space="preserve"> </w:t>
            </w:r>
            <w:r>
              <w:rPr>
                <w:rFonts w:ascii="仿宋" w:hAnsi="仿宋" w:eastAsia="仿宋" w:cs="Times New Roman"/>
                <w:b/>
                <w:sz w:val="24"/>
                <w:szCs w:val="24"/>
              </w:rPr>
              <w:t xml:space="preserve"> 模块</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Times New Roman"/>
                <w:b/>
                <w:sz w:val="24"/>
                <w:szCs w:val="24"/>
              </w:rPr>
            </w:pPr>
            <w:r>
              <w:rPr>
                <w:rFonts w:ascii="仿宋" w:hAnsi="仿宋" w:eastAsia="仿宋" w:cs="Times New Roman"/>
                <w:b/>
                <w:sz w:val="24"/>
                <w:szCs w:val="24"/>
              </w:rPr>
              <w:t>课程名称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Times New Roman"/>
                <w:b/>
                <w:sz w:val="24"/>
                <w:szCs w:val="24"/>
              </w:rPr>
            </w:pPr>
            <w:r>
              <w:rPr>
                <w:rFonts w:ascii="仿宋" w:hAnsi="仿宋" w:eastAsia="仿宋" w:cs="Times New Roman"/>
                <w:b/>
                <w:sz w:val="24"/>
                <w:szCs w:val="24"/>
              </w:rPr>
              <w:t>主讲人</w:t>
            </w:r>
          </w:p>
        </w:tc>
        <w:tc>
          <w:tcPr>
            <w:tcW w:w="2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Times New Roman"/>
                <w:b/>
                <w:sz w:val="24"/>
                <w:szCs w:val="24"/>
              </w:rPr>
            </w:pPr>
            <w:r>
              <w:rPr>
                <w:rFonts w:ascii="仿宋" w:hAnsi="仿宋" w:eastAsia="仿宋" w:cs="Times New Roman"/>
                <w:b/>
                <w:sz w:val="24"/>
                <w:szCs w:val="24"/>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仿宋" w:hAnsi="仿宋" w:eastAsia="仿宋" w:cs="Times New Roman"/>
                <w:b/>
                <w:sz w:val="24"/>
                <w:szCs w:val="24"/>
              </w:rPr>
            </w:pPr>
            <w:r>
              <w:rPr>
                <w:rFonts w:ascii="仿宋" w:hAnsi="仿宋" w:eastAsia="仿宋" w:cs="Times New Roman"/>
                <w:b/>
                <w:sz w:val="24"/>
                <w:szCs w:val="24"/>
              </w:rPr>
              <w:t>政治   理论   教育</w:t>
            </w:r>
          </w:p>
        </w:tc>
        <w:tc>
          <w:tcPr>
            <w:tcW w:w="39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仿宋" w:hAnsi="仿宋" w:eastAsia="仿宋"/>
                <w:sz w:val="24"/>
                <w:szCs w:val="24"/>
              </w:rPr>
            </w:pPr>
            <w:r>
              <w:rPr>
                <w:rFonts w:hint="eastAsia" w:ascii="仿宋" w:hAnsi="仿宋" w:eastAsia="仿宋"/>
                <w:sz w:val="24"/>
                <w:szCs w:val="24"/>
              </w:rPr>
              <w:t>贯彻落实十九届五中全会精神  推动“十四五”时期高等教育的高质量发展</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马陆亭</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教育部教育发展研究中心副主任、研究员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hint="eastAsia" w:ascii="仿宋" w:hAnsi="仿宋" w:eastAsia="仿宋"/>
                <w:sz w:val="24"/>
                <w:szCs w:val="24"/>
              </w:rPr>
            </w:pPr>
            <w:r>
              <w:rPr>
                <w:rFonts w:hint="eastAsia" w:ascii="仿宋" w:hAnsi="仿宋" w:eastAsia="仿宋"/>
                <w:sz w:val="24"/>
                <w:szCs w:val="24"/>
              </w:rPr>
              <w:t>习近平总书记教育重要论述讲义</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李文长</w:t>
            </w:r>
          </w:p>
        </w:tc>
        <w:tc>
          <w:tcPr>
            <w:tcW w:w="2976" w:type="dxa"/>
            <w:tcBorders>
              <w:top w:val="nil"/>
              <w:left w:val="nil"/>
              <w:bottom w:val="single" w:color="auto" w:sz="4" w:space="0"/>
              <w:right w:val="single" w:color="auto" w:sz="4" w:space="0"/>
            </w:tcBorders>
            <w:shd w:val="clear" w:color="000000" w:fill="FFFFFF"/>
            <w:noWrap w:val="0"/>
            <w:vAlign w:val="center"/>
          </w:tcPr>
          <w:p>
            <w:pPr>
              <w:rPr>
                <w:rFonts w:hint="eastAsia" w:ascii="仿宋" w:hAnsi="仿宋" w:eastAsia="仿宋"/>
                <w:sz w:val="24"/>
                <w:szCs w:val="24"/>
              </w:rPr>
            </w:pPr>
            <w:r>
              <w:rPr>
                <w:rFonts w:hint="eastAsia" w:ascii="仿宋" w:hAnsi="仿宋" w:eastAsia="仿宋"/>
                <w:sz w:val="24"/>
                <w:szCs w:val="24"/>
              </w:rPr>
              <w:t>国家教育行政学院原副院长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学习贯彻全国教育大会精神 加强新时代教师队伍建设</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宋  磊</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教育部教师工作司副司长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习近平总书记关于加强和改进统一战线工作的重要论述</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孙  信</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中央社会主义学院统战理论教研部主任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如何看“百年未有之大变局”</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杨光斌</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中国人民大学特聘教授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建设具有强大凝聚力和引领力的社会主义意识形态</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寇清杰</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hint="eastAsia" w:ascii="仿宋" w:hAnsi="仿宋" w:eastAsia="仿宋"/>
                <w:sz w:val="24"/>
                <w:szCs w:val="24"/>
              </w:rPr>
              <w:t>南开大学教授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left w:val="single" w:color="auto" w:sz="4" w:space="0"/>
              <w:right w:val="single" w:color="auto" w:sz="4" w:space="0"/>
            </w:tcBorders>
            <w:shd w:val="clear" w:color="000000" w:fill="FFFFFF"/>
            <w:noWrap w:val="0"/>
            <w:vAlign w:val="center"/>
          </w:tcPr>
          <w:p>
            <w:pPr>
              <w:jc w:val="center"/>
              <w:rPr>
                <w:rFonts w:hint="eastAsia" w:ascii="仿宋" w:hAnsi="仿宋" w:eastAsia="仿宋" w:cs="Times New Roman"/>
                <w:b/>
                <w:sz w:val="24"/>
                <w:szCs w:val="24"/>
              </w:rPr>
            </w:pPr>
            <w:r>
              <w:rPr>
                <w:rFonts w:hint="eastAsia" w:ascii="仿宋" w:hAnsi="仿宋" w:eastAsia="仿宋" w:cs="Times New Roman"/>
                <w:b/>
                <w:sz w:val="24"/>
                <w:szCs w:val="24"/>
              </w:rPr>
              <w:t>党史  学习</w:t>
            </w:r>
          </w:p>
          <w:p>
            <w:pPr>
              <w:jc w:val="center"/>
              <w:rPr>
                <w:rFonts w:ascii="仿宋" w:hAnsi="仿宋" w:eastAsia="仿宋" w:cs="Times New Roman"/>
                <w:color w:val="000000"/>
                <w:sz w:val="24"/>
                <w:szCs w:val="24"/>
              </w:rPr>
            </w:pPr>
            <w:r>
              <w:rPr>
                <w:rFonts w:ascii="仿宋" w:hAnsi="仿宋" w:eastAsia="仿宋" w:cs="Times New Roman"/>
                <w:b/>
                <w:sz w:val="24"/>
                <w:szCs w:val="24"/>
              </w:rPr>
              <w:t>教育</w:t>
            </w:r>
          </w:p>
        </w:tc>
        <w:tc>
          <w:tcPr>
            <w:tcW w:w="39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仿宋" w:hAnsi="仿宋" w:eastAsia="仿宋" w:cs="宋体"/>
                <w:color w:val="000000"/>
                <w:kern w:val="0"/>
                <w:sz w:val="24"/>
                <w:szCs w:val="24"/>
              </w:rPr>
            </w:pPr>
            <w:r>
              <w:rPr>
                <w:rFonts w:ascii="仿宋" w:hAnsi="仿宋" w:eastAsia="仿宋"/>
                <w:color w:val="000000"/>
                <w:sz w:val="24"/>
                <w:szCs w:val="24"/>
              </w:rPr>
              <w:t>知史爱党——跟习近平总书记学党史</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仿宋" w:hAnsi="仿宋" w:eastAsia="仿宋"/>
                <w:color w:val="000000"/>
                <w:sz w:val="24"/>
                <w:szCs w:val="24"/>
              </w:rPr>
            </w:pPr>
            <w:r>
              <w:rPr>
                <w:rFonts w:ascii="仿宋" w:hAnsi="仿宋" w:eastAsia="仿宋"/>
                <w:color w:val="000000"/>
                <w:sz w:val="24"/>
                <w:szCs w:val="24"/>
              </w:rPr>
              <w:t>专家组</w:t>
            </w:r>
          </w:p>
        </w:tc>
        <w:tc>
          <w:tcPr>
            <w:tcW w:w="2976" w:type="dxa"/>
            <w:tcBorders>
              <w:top w:val="single" w:color="auto" w:sz="4" w:space="0"/>
              <w:left w:val="nil"/>
              <w:bottom w:val="single" w:color="auto" w:sz="4" w:space="0"/>
              <w:right w:val="single" w:color="auto" w:sz="4" w:space="0"/>
            </w:tcBorders>
            <w:shd w:val="clear" w:color="000000" w:fill="FFFFFF"/>
            <w:noWrap w:val="0"/>
            <w:vAlign w:val="center"/>
          </w:tcPr>
          <w:p>
            <w:pP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五四运动 唤醒民众</w:t>
            </w:r>
          </w:p>
        </w:tc>
        <w:tc>
          <w:tcPr>
            <w:tcW w:w="1134" w:type="dxa"/>
            <w:vMerge w:val="restart"/>
            <w:tcBorders>
              <w:top w:val="nil"/>
              <w:left w:val="nil"/>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专题片</w:t>
            </w:r>
          </w:p>
        </w:tc>
        <w:tc>
          <w:tcPr>
            <w:tcW w:w="2976" w:type="dxa"/>
            <w:vMerge w:val="restart"/>
            <w:tcBorders>
              <w:top w:val="single" w:color="auto" w:sz="4" w:space="0"/>
              <w:left w:val="nil"/>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党史故事100讲（党建篇）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首译宣言 传播真理</w:t>
            </w:r>
          </w:p>
        </w:tc>
        <w:tc>
          <w:tcPr>
            <w:tcW w:w="1134" w:type="dxa"/>
            <w:vMerge w:val="continue"/>
            <w:tcBorders>
              <w:left w:val="nil"/>
              <w:right w:val="single" w:color="auto" w:sz="4" w:space="0"/>
            </w:tcBorders>
            <w:shd w:val="clear" w:color="auto" w:fill="auto"/>
            <w:noWrap w:val="0"/>
            <w:vAlign w:val="center"/>
          </w:tcPr>
          <w:p>
            <w:pPr>
              <w:jc w:val="center"/>
              <w:rPr>
                <w:rFonts w:ascii="仿宋" w:hAnsi="仿宋" w:eastAsia="仿宋"/>
                <w:sz w:val="24"/>
                <w:szCs w:val="24"/>
              </w:rPr>
            </w:pPr>
          </w:p>
        </w:tc>
        <w:tc>
          <w:tcPr>
            <w:tcW w:w="2976" w:type="dxa"/>
            <w:vMerge w:val="continue"/>
            <w:tcBorders>
              <w:left w:val="nil"/>
              <w:right w:val="single" w:color="auto" w:sz="4" w:space="0"/>
            </w:tcBorders>
            <w:shd w:val="clear" w:color="auto" w:fill="auto"/>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酝酿建党 各地响应</w:t>
            </w:r>
          </w:p>
        </w:tc>
        <w:tc>
          <w:tcPr>
            <w:tcW w:w="1134" w:type="dxa"/>
            <w:vMerge w:val="continue"/>
            <w:tcBorders>
              <w:left w:val="nil"/>
              <w:right w:val="single" w:color="auto" w:sz="4" w:space="0"/>
            </w:tcBorders>
            <w:shd w:val="clear" w:color="auto" w:fill="auto"/>
            <w:noWrap w:val="0"/>
            <w:vAlign w:val="center"/>
          </w:tcPr>
          <w:p>
            <w:pPr>
              <w:jc w:val="center"/>
              <w:rPr>
                <w:rFonts w:ascii="仿宋" w:hAnsi="仿宋" w:eastAsia="仿宋"/>
                <w:sz w:val="24"/>
                <w:szCs w:val="24"/>
              </w:rPr>
            </w:pPr>
          </w:p>
        </w:tc>
        <w:tc>
          <w:tcPr>
            <w:tcW w:w="2976" w:type="dxa"/>
            <w:vMerge w:val="continue"/>
            <w:tcBorders>
              <w:left w:val="nil"/>
              <w:right w:val="single" w:color="auto" w:sz="4" w:space="0"/>
            </w:tcBorders>
            <w:shd w:val="clear" w:color="auto" w:fill="auto"/>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一大首聚 开天辟地</w:t>
            </w:r>
          </w:p>
        </w:tc>
        <w:tc>
          <w:tcPr>
            <w:tcW w:w="1134" w:type="dxa"/>
            <w:vMerge w:val="continue"/>
            <w:tcBorders>
              <w:left w:val="nil"/>
              <w:right w:val="single" w:color="auto" w:sz="4" w:space="0"/>
            </w:tcBorders>
            <w:shd w:val="clear" w:color="auto" w:fill="auto"/>
            <w:noWrap w:val="0"/>
            <w:vAlign w:val="center"/>
          </w:tcPr>
          <w:p>
            <w:pPr>
              <w:jc w:val="center"/>
              <w:rPr>
                <w:rFonts w:ascii="仿宋" w:hAnsi="仿宋" w:eastAsia="仿宋"/>
                <w:sz w:val="24"/>
                <w:szCs w:val="24"/>
              </w:rPr>
            </w:pPr>
          </w:p>
        </w:tc>
        <w:tc>
          <w:tcPr>
            <w:tcW w:w="2976" w:type="dxa"/>
            <w:vMerge w:val="continue"/>
            <w:tcBorders>
              <w:left w:val="nil"/>
              <w:right w:val="single" w:color="auto" w:sz="4" w:space="0"/>
            </w:tcBorders>
            <w:shd w:val="clear" w:color="auto" w:fill="auto"/>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反帝反封 工运高潮</w:t>
            </w:r>
          </w:p>
        </w:tc>
        <w:tc>
          <w:tcPr>
            <w:tcW w:w="1134" w:type="dxa"/>
            <w:vMerge w:val="continue"/>
            <w:tcBorders>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p>
        </w:tc>
        <w:tc>
          <w:tcPr>
            <w:tcW w:w="2976" w:type="dxa"/>
            <w:vMerge w:val="continue"/>
            <w:tcBorders>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新中国70年发展与中国共产党的领导</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徐</w:t>
            </w:r>
            <w:r>
              <w:rPr>
                <w:rFonts w:hint="eastAsia" w:ascii="仿宋" w:hAnsi="仿宋" w:eastAsia="仿宋"/>
                <w:sz w:val="24"/>
                <w:szCs w:val="24"/>
              </w:rPr>
              <w:t xml:space="preserve">  </w:t>
            </w:r>
            <w:r>
              <w:rPr>
                <w:rFonts w:ascii="仿宋" w:hAnsi="仿宋" w:eastAsia="仿宋"/>
                <w:sz w:val="24"/>
                <w:szCs w:val="24"/>
              </w:rPr>
              <w:t>斌</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十一届三中全会与伟大历史转折</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李松林</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首都师范大学教授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改革开放的历程和基本经验</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王炳林</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教育部高等学校社会科学发展研究中心主任、教授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中国特色社会主义进入新时代</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王炳林</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教育部高等学校社会科学发展研究中心主任、教授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“红船精神”：新长征路上的精神底蕴</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戴立兴</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中国社会科学院马克思主义研究院研究员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井冈山精神的内涵及其当代价值</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陈胜华</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中国井冈山干部学院教授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延安精神的时代价值与现实意义</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郭必选</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延安大学政法学院教授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“两个务必”和“赶考”智慧——中国共产党在西柏坡的伟大实践及精神</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李庆安</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中国西柏坡精神研究院副院长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ascii="仿宋" w:hAnsi="仿宋" w:eastAsia="仿宋"/>
                <w:sz w:val="24"/>
                <w:szCs w:val="24"/>
              </w:rPr>
            </w:pPr>
            <w:r>
              <w:rPr>
                <w:rFonts w:ascii="仿宋" w:hAnsi="仿宋" w:eastAsia="仿宋"/>
                <w:sz w:val="24"/>
                <w:szCs w:val="24"/>
              </w:rPr>
              <w:t>把雷锋精神代代传承下去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sz w:val="24"/>
                <w:szCs w:val="24"/>
              </w:rPr>
            </w:pPr>
            <w:r>
              <w:rPr>
                <w:rFonts w:ascii="仿宋" w:hAnsi="仿宋" w:eastAsia="仿宋"/>
                <w:sz w:val="24"/>
                <w:szCs w:val="24"/>
              </w:rPr>
              <w:t>肖</w:t>
            </w:r>
            <w:r>
              <w:rPr>
                <w:rFonts w:hint="eastAsia" w:ascii="仿宋" w:hAnsi="仿宋" w:eastAsia="仿宋"/>
                <w:sz w:val="24"/>
                <w:szCs w:val="24"/>
              </w:rPr>
              <w:t xml:space="preserve">  </w:t>
            </w:r>
            <w:r>
              <w:rPr>
                <w:rFonts w:ascii="仿宋" w:hAnsi="仿宋" w:eastAsia="仿宋"/>
                <w:sz w:val="24"/>
                <w:szCs w:val="24"/>
              </w:rPr>
              <w:t>宇</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ascii="仿宋" w:hAnsi="仿宋" w:eastAsia="仿宋"/>
                <w:sz w:val="24"/>
                <w:szCs w:val="24"/>
              </w:rPr>
              <w:t>雷锋学院分管日常工作副院长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仿宋" w:hAnsi="仿宋" w:eastAsia="仿宋" w:cs="Times New Roman"/>
                <w:b/>
                <w:color w:val="000000"/>
                <w:sz w:val="24"/>
                <w:szCs w:val="24"/>
              </w:rPr>
            </w:pPr>
            <w:r>
              <w:rPr>
                <w:rFonts w:ascii="仿宋" w:hAnsi="仿宋" w:eastAsia="仿宋" w:cs="Times New Roman"/>
                <w:b/>
                <w:color w:val="000000"/>
                <w:sz w:val="24"/>
                <w:szCs w:val="24"/>
              </w:rPr>
              <w:t>党内   法规   学习</w:t>
            </w:r>
            <w:r>
              <w:rPr>
                <w:rFonts w:hint="eastAsia" w:ascii="仿宋" w:hAnsi="仿宋" w:eastAsia="仿宋" w:cs="Times New Roman"/>
                <w:b/>
                <w:color w:val="000000"/>
                <w:sz w:val="24"/>
                <w:szCs w:val="24"/>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十九大党章解读系列微课</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微  课</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全面提高新时代党员教育培训工作质量——《2019-2023年全国党员教育培训工作规划》解读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刘  春</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新时代党员教育管理工作的基本遵循——学习《中国共产党党员教育管理工作条例》</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王  莉</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《中国共产党支部工作条例（试行）》解读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石国亮</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首都师范大学教授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严格执行选举制度规定，提高党内选举质量——《中国共产党基层组织选举工作条例》解读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吕冬冬</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北京市顺义区委党校教授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不断提高新发展党员的质量——关于《中国共产党发展党员工作细则》的学习与解读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元跃旗</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北京市委党校副教授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《党政领导干部选拔任用工作条例》（新修订）解读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刘  春</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《党政领导干部考核工作条例》解读</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陈凯龙</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hint="eastAsia" w:ascii="仿宋" w:hAnsi="仿宋" w:eastAsia="仿宋"/>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仿宋" w:hAnsi="仿宋" w:eastAsia="仿宋" w:cs="Times New Roman"/>
                <w:b/>
                <w:color w:val="000000"/>
                <w:sz w:val="24"/>
                <w:szCs w:val="24"/>
              </w:rPr>
            </w:pPr>
          </w:p>
          <w:p>
            <w:pPr>
              <w:widowControl/>
              <w:jc w:val="center"/>
              <w:rPr>
                <w:rFonts w:ascii="仿宋" w:hAnsi="仿宋" w:eastAsia="仿宋" w:cs="Times New Roman"/>
                <w:b/>
                <w:color w:val="000000"/>
                <w:sz w:val="24"/>
                <w:szCs w:val="24"/>
              </w:rPr>
            </w:pPr>
          </w:p>
          <w:p>
            <w:pPr>
              <w:pStyle w:val="2"/>
              <w:jc w:val="center"/>
              <w:rPr>
                <w:rFonts w:hint="eastAsia"/>
              </w:rPr>
            </w:pPr>
          </w:p>
          <w:p>
            <w:pPr>
              <w:widowControl/>
              <w:jc w:val="center"/>
              <w:rPr>
                <w:rFonts w:hint="eastAsia" w:ascii="仿宋" w:hAnsi="仿宋" w:eastAsia="仿宋" w:cs="Times New Roman"/>
                <w:b/>
                <w:color w:val="000000"/>
                <w:sz w:val="24"/>
                <w:szCs w:val="24"/>
              </w:rPr>
            </w:pPr>
            <w:r>
              <w:rPr>
                <w:rFonts w:hint="eastAsia" w:ascii="仿宋" w:hAnsi="仿宋" w:eastAsia="仿宋" w:cs="Times New Roman"/>
                <w:b/>
                <w:color w:val="000000"/>
                <w:sz w:val="24"/>
                <w:szCs w:val="24"/>
              </w:rPr>
              <w:t>党建  工作  实务</w:t>
            </w:r>
          </w:p>
          <w:p>
            <w:pPr>
              <w:widowControl/>
              <w:jc w:val="center"/>
              <w:rPr>
                <w:rFonts w:ascii="仿宋" w:hAnsi="仿宋" w:eastAsia="仿宋" w:cs="Times New Roman"/>
                <w:b/>
                <w:color w:val="000000"/>
                <w:sz w:val="24"/>
                <w:szCs w:val="24"/>
              </w:rPr>
            </w:pPr>
          </w:p>
          <w:p>
            <w:pPr>
              <w:widowControl/>
              <w:jc w:val="center"/>
              <w:rPr>
                <w:rFonts w:ascii="仿宋" w:hAnsi="仿宋" w:eastAsia="仿宋" w:cs="Times New Roman"/>
                <w:b/>
                <w:color w:val="000000"/>
                <w:sz w:val="24"/>
                <w:szCs w:val="24"/>
              </w:rPr>
            </w:pPr>
          </w:p>
          <w:p>
            <w:pPr>
              <w:widowControl/>
              <w:jc w:val="center"/>
              <w:rPr>
                <w:rFonts w:ascii="仿宋" w:hAnsi="仿宋" w:eastAsia="仿宋" w:cs="Times New Roman"/>
                <w:b/>
                <w:color w:val="000000"/>
                <w:sz w:val="24"/>
                <w:szCs w:val="24"/>
              </w:rPr>
            </w:pPr>
          </w:p>
          <w:p>
            <w:pPr>
              <w:widowControl/>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党建  工作  实务</w:t>
            </w:r>
          </w:p>
        </w:tc>
        <w:tc>
          <w:tcPr>
            <w:tcW w:w="39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仿宋" w:hAnsi="仿宋" w:eastAsia="仿宋"/>
                <w:sz w:val="24"/>
                <w:szCs w:val="24"/>
              </w:rPr>
            </w:pPr>
            <w:r>
              <w:rPr>
                <w:rFonts w:hint="eastAsia" w:ascii="仿宋" w:hAnsi="仿宋" w:eastAsia="仿宋"/>
                <w:sz w:val="24"/>
                <w:szCs w:val="24"/>
              </w:rPr>
              <w:t>践行新时代党的组织路线 努力提高党的建设质量</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乔志强</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湖北省委高校工委组织处处长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000000" w:fill="FFFFFF"/>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000000" w:fill="FFFFFF"/>
            <w:noWrap w:val="0"/>
            <w:vAlign w:val="center"/>
          </w:tcPr>
          <w:p>
            <w:pPr>
              <w:rPr>
                <w:rFonts w:hint="eastAsia" w:ascii="仿宋" w:hAnsi="仿宋" w:eastAsia="仿宋"/>
                <w:sz w:val="24"/>
                <w:szCs w:val="24"/>
              </w:rPr>
            </w:pPr>
            <w:r>
              <w:rPr>
                <w:rFonts w:hint="eastAsia" w:ascii="仿宋" w:hAnsi="仿宋" w:eastAsia="仿宋"/>
                <w:sz w:val="24"/>
                <w:szCs w:val="24"/>
              </w:rPr>
              <w:t>新时代基层党支部的标准化建设</w:t>
            </w: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元跃旗</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北京市委党校副教授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基层党务工作实践与探索</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胡  伟</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南京理工大学化工学院党委副书记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提高政治站位 做好高校党员发展工作</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熊  伟</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上海工程技术大学党委组织员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严格党支部的组织生活</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于欣欣</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哈尔滨工程大学校党委组织部副部长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党支部如何开展谈心谈话活动</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邱少明</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中共铁道党校党建和基本理论教研部副教授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创新基层党组织“三会一课”的方法和途径</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吕冬冬</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中共北京市顺义区委党校教授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支部党员大会如何开得更有质量、有效果</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李明伟</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开好支部委员会，做好新时代党支部委员会建设工作</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林建华</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北京市昌平区委党校教授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党支部成立及调整或撤销的程序是什么？</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元跃旗</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北京市委党校副教授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关于党费收缴、使用和管理的相关规定和解读</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吕冬冬</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hint="eastAsia" w:ascii="仿宋" w:hAnsi="仿宋" w:eastAsia="仿宋"/>
                <w:sz w:val="24"/>
                <w:szCs w:val="24"/>
              </w:rPr>
              <w:t>北京市顺义区委党校教授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 xml:space="preserve">党建 </w:t>
            </w:r>
            <w:r>
              <w:rPr>
                <w:rFonts w:ascii="仿宋" w:hAnsi="仿宋" w:eastAsia="仿宋" w:cs="Times New Roman"/>
                <w:b/>
                <w:color w:val="000000"/>
                <w:sz w:val="24"/>
                <w:szCs w:val="24"/>
              </w:rPr>
              <w:t xml:space="preserve"> </w:t>
            </w:r>
            <w:r>
              <w:rPr>
                <w:rFonts w:hint="eastAsia" w:ascii="仿宋" w:hAnsi="仿宋" w:eastAsia="仿宋" w:cs="Times New Roman"/>
                <w:b/>
                <w:color w:val="000000"/>
                <w:sz w:val="24"/>
                <w:szCs w:val="24"/>
              </w:rPr>
              <w:t xml:space="preserve">工作 </w:t>
            </w:r>
            <w:r>
              <w:rPr>
                <w:rFonts w:ascii="仿宋" w:hAnsi="仿宋" w:eastAsia="仿宋" w:cs="Times New Roman"/>
                <w:b/>
                <w:color w:val="000000"/>
                <w:sz w:val="24"/>
                <w:szCs w:val="24"/>
              </w:rPr>
              <w:t xml:space="preserve"> </w:t>
            </w:r>
            <w:r>
              <w:rPr>
                <w:rFonts w:hint="eastAsia" w:ascii="仿宋" w:hAnsi="仿宋" w:eastAsia="仿宋" w:cs="Times New Roman"/>
                <w:b/>
                <w:color w:val="000000"/>
                <w:sz w:val="24"/>
                <w:szCs w:val="24"/>
              </w:rPr>
              <w:t xml:space="preserve">案例 </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"新时代高校二级学院党建工作模式的探索与实践 ——以合肥工业大学仪器科学与光电工程学院全国党建工作标杆院系创建为例</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钟  军</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hint="eastAsia" w:ascii="仿宋" w:hAnsi="仿宋" w:eastAsia="仿宋"/>
                <w:sz w:val="24"/>
                <w:szCs w:val="24"/>
              </w:rPr>
              <w:t>合肥工业大学仪器科学与光电工程学院党委书记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发挥党建标杆作用，引发育人“化学反应”</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张  严</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中央民族大学生命与环境科学学院党委书记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不忘初心，做一个有情怀的组织员</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陈  敏</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湘潭大学商学院专职组织员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开启新时代“双带头人” 教师党支部书记工作室建设的新征程</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姜晓东</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华东师范大学生命科学学院生物学系教工党支部书记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着力推行“双带头人”制度，强化高校基层党支部建设—西华师范大学生命科学学院基层党建工作纪实</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严贤春</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西华师范大学生命科学学院教工第一党支部书记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厚积薄发、多点努力，做好高校教工党支部工作</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马  超</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天津大学建工学院水利水电第二党支部书记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高校教师党支部建设思考及实践</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闫东利</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河北师范大学研究生院书记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以创新驱动推进新时代基层党组织的自我革命</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李青山</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沈阳工业大学建筑与土木工程学院党总支副书记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筑牢“七个有力”，打造“互联网+党建”——北京交通大学电子信息工程学院样板党支部经验做法</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马  帅</w:t>
            </w:r>
          </w:p>
        </w:tc>
        <w:tc>
          <w:tcPr>
            <w:tcW w:w="2976" w:type="dxa"/>
            <w:tcBorders>
              <w:top w:val="nil"/>
              <w:left w:val="nil"/>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北京交通大学电子信息工程学院本科生党支部书记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nil"/>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夯实制度基础，打造特色活动，激发新时代支部建设新活力</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葛  超</w:t>
            </w:r>
          </w:p>
        </w:tc>
        <w:tc>
          <w:tcPr>
            <w:tcW w:w="2976"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r>
              <w:rPr>
                <w:rFonts w:hint="eastAsia" w:ascii="仿宋" w:hAnsi="仿宋" w:eastAsia="仿宋"/>
                <w:sz w:val="24"/>
                <w:szCs w:val="24"/>
              </w:rPr>
              <w:t>华北电力大学原国际教育学院党总支副书记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restart"/>
            <w:tcBorders>
              <w:left w:val="single" w:color="auto" w:sz="4" w:space="0"/>
              <w:right w:val="single" w:color="auto" w:sz="4" w:space="0"/>
            </w:tcBorders>
            <w:shd w:val="clear" w:color="auto" w:fill="auto"/>
            <w:noWrap w:val="0"/>
            <w:vAlign w:val="center"/>
          </w:tcPr>
          <w:p>
            <w:pPr>
              <w:jc w:val="center"/>
              <w:rPr>
                <w:rFonts w:ascii="仿宋" w:hAnsi="仿宋" w:eastAsia="仿宋" w:cs="Times New Roman"/>
                <w:b/>
                <w:color w:val="000000"/>
                <w:sz w:val="24"/>
                <w:szCs w:val="24"/>
              </w:rPr>
            </w:pPr>
            <w:r>
              <w:rPr>
                <w:rFonts w:ascii="仿宋" w:hAnsi="仿宋" w:eastAsia="仿宋" w:cs="Times New Roman"/>
                <w:b/>
                <w:color w:val="000000"/>
                <w:sz w:val="24"/>
                <w:szCs w:val="24"/>
              </w:rPr>
              <w:t>党性   修养   提升</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《共产党宣言》在新时代的价值</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仿宋" w:hAnsi="仿宋" w:eastAsia="仿宋" w:cs="Times New Roman"/>
                <w:sz w:val="24"/>
                <w:szCs w:val="24"/>
              </w:rPr>
            </w:pPr>
            <w:r>
              <w:rPr>
                <w:rFonts w:ascii="仿宋" w:hAnsi="仿宋" w:eastAsia="仿宋" w:cs="Times New Roman"/>
                <w:sz w:val="24"/>
                <w:szCs w:val="24"/>
              </w:rPr>
              <w:t>石国亮</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首都师范大学教授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“不忘初心” 深研经典 增强理论自信——学习李大钊《我的马克思主义观》</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仿宋" w:hAnsi="仿宋" w:eastAsia="仿宋" w:cs="Times New Roman"/>
                <w:sz w:val="24"/>
                <w:szCs w:val="24"/>
              </w:rPr>
            </w:pPr>
            <w:r>
              <w:rPr>
                <w:rFonts w:ascii="仿宋" w:hAnsi="仿宋" w:eastAsia="仿宋" w:cs="Times New Roman"/>
                <w:sz w:val="24"/>
                <w:szCs w:val="24"/>
              </w:rPr>
              <w:t>侯且岸</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北京师范大学特聘教授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艰难困苦 玉汝于成——读《习近平的七年知青岁月》析干部成长之道</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刘志伟</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r>
              <w:rPr>
                <w:rFonts w:ascii="仿宋" w:hAnsi="仿宋" w:eastAsia="仿宋" w:cs="Times New Roman"/>
                <w:color w:val="00000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0" w:type="dxa"/>
            <w:vMerge w:val="continue"/>
            <w:tcBorders>
              <w:left w:val="single" w:color="auto" w:sz="4" w:space="0"/>
              <w:right w:val="single" w:color="auto" w:sz="4" w:space="0"/>
            </w:tcBorders>
            <w:shd w:val="clear" w:color="auto" w:fill="auto"/>
            <w:noWrap w:val="0"/>
            <w:vAlign w:val="center"/>
          </w:tcPr>
          <w:p>
            <w:pPr>
              <w:rPr>
                <w:rFonts w:ascii="仿宋" w:hAnsi="仿宋" w:eastAsia="仿宋" w:cs="Times New Roman"/>
                <w:color w:val="000000"/>
                <w:sz w:val="24"/>
                <w:szCs w:val="24"/>
              </w:rPr>
            </w:pPr>
            <w:bookmarkStart w:id="0" w:name="_GoBack"/>
            <w:bookmarkEnd w:id="0"/>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zCs w:val="24"/>
              </w:rPr>
            </w:pPr>
            <w:r>
              <w:rPr>
                <w:rFonts w:hint="eastAsia" w:ascii="仿宋" w:hAnsi="仿宋" w:eastAsia="仿宋"/>
                <w:sz w:val="24"/>
                <w:szCs w:val="24"/>
              </w:rPr>
              <w:t>一堂党课——接续文心秀行 谱写青春华章</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sz w:val="24"/>
                <w:szCs w:val="24"/>
              </w:rPr>
            </w:pPr>
            <w:r>
              <w:rPr>
                <w:rFonts w:hint="eastAsia" w:ascii="仿宋" w:hAnsi="仿宋" w:eastAsia="仿宋"/>
                <w:sz w:val="24"/>
                <w:szCs w:val="24"/>
              </w:rPr>
              <w:t>专题片</w:t>
            </w:r>
          </w:p>
        </w:tc>
        <w:tc>
          <w:tcPr>
            <w:tcW w:w="2976" w:type="dxa"/>
            <w:tcBorders>
              <w:top w:val="single" w:color="auto" w:sz="4" w:space="0"/>
              <w:left w:val="nil"/>
              <w:bottom w:val="single" w:color="auto" w:sz="4" w:space="0"/>
              <w:right w:val="single" w:color="auto" w:sz="4" w:space="0"/>
            </w:tcBorders>
            <w:shd w:val="clear" w:color="auto" w:fill="auto"/>
            <w:noWrap w:val="0"/>
            <w:vAlign w:val="center"/>
          </w:tcPr>
          <w:p>
            <w:pPr>
              <w:rPr>
                <w:rFonts w:ascii="仿宋" w:hAnsi="仿宋" w:eastAsia="仿宋"/>
                <w:sz w:val="24"/>
                <w:szCs w:val="24"/>
              </w:rPr>
            </w:pPr>
          </w:p>
        </w:tc>
      </w:tr>
    </w:tbl>
    <w:p>
      <w:pPr>
        <w:spacing w:line="360" w:lineRule="exact"/>
        <w:rPr>
          <w:rFonts w:ascii="Times New Roman" w:hAnsi="Times New Roman" w:eastAsia="仿宋" w:cs="Times New Roman"/>
          <w:sz w:val="24"/>
          <w:szCs w:val="21"/>
        </w:rPr>
      </w:pPr>
      <w:r>
        <w:rPr>
          <w:rFonts w:ascii="Times New Roman" w:hAnsi="Times New Roman" w:eastAsia="仿宋" w:cs="Times New Roman"/>
          <w:sz w:val="24"/>
          <w:szCs w:val="21"/>
        </w:rPr>
        <w:t xml:space="preserve">说明：1.个别课程或稍有调整，请以平台最终发布课程为准； </w:t>
      </w:r>
    </w:p>
    <w:p>
      <w:pPr>
        <w:widowControl/>
        <w:spacing w:line="360" w:lineRule="exact"/>
        <w:ind w:firstLine="720" w:firstLineChars="300"/>
        <w:jc w:val="left"/>
        <w:rPr>
          <w:rFonts w:ascii="Times New Roman" w:hAnsi="Times New Roman" w:eastAsia="黑体" w:cs="Times New Roman"/>
          <w:sz w:val="30"/>
          <w:szCs w:val="30"/>
        </w:rPr>
        <w:sectPr>
          <w:pgSz w:w="11906" w:h="16838"/>
          <w:pgMar w:top="1440" w:right="1797" w:bottom="1440" w:left="1797" w:header="851" w:footer="992" w:gutter="0"/>
          <w:cols w:space="720" w:num="1"/>
          <w:docGrid w:linePitch="312" w:charSpace="0"/>
        </w:sectPr>
      </w:pPr>
      <w:r>
        <w:rPr>
          <w:rFonts w:ascii="Times New Roman" w:hAnsi="Times New Roman" w:eastAsia="仿宋" w:cs="Times New Roman"/>
          <w:sz w:val="24"/>
          <w:szCs w:val="21"/>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13C70"/>
    <w:rsid w:val="5D763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一叶编舟</cp:lastModifiedBy>
  <dcterms:modified xsi:type="dcterms:W3CDTF">2021-05-07T10:11:13Z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B44BB815EA40462D9624F504F43CADA9</vt:lpwstr>
  </property>
</Properties>
</file>