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w w:val="98"/>
          <w:sz w:val="36"/>
          <w:szCs w:val="36"/>
        </w:rPr>
      </w:pPr>
      <w:bookmarkStart w:id="0" w:name="_Hlk65530268"/>
      <w:r>
        <w:rPr>
          <w:rFonts w:hint="eastAsia" w:ascii="方正小标宋简体" w:hAnsi="Times New Roman" w:eastAsia="方正小标宋简体" w:cs="方正小标宋简体"/>
          <w:w w:val="98"/>
          <w:sz w:val="36"/>
          <w:szCs w:val="36"/>
        </w:rPr>
        <w:t>“学习百年党史</w:t>
      </w:r>
      <w:r>
        <w:rPr>
          <w:rFonts w:ascii="方正小标宋简体" w:hAnsi="Times New Roman" w:eastAsia="方正小标宋简体" w:cs="方正小标宋简体"/>
          <w:w w:val="98"/>
          <w:sz w:val="36"/>
          <w:szCs w:val="36"/>
        </w:rPr>
        <w:t xml:space="preserve"> </w:t>
      </w:r>
      <w:r>
        <w:rPr>
          <w:rFonts w:hint="eastAsia" w:ascii="方正小标宋简体" w:hAnsi="Times New Roman" w:eastAsia="方正小标宋简体" w:cs="方正小标宋简体"/>
          <w:w w:val="98"/>
          <w:sz w:val="36"/>
          <w:szCs w:val="36"/>
        </w:rPr>
        <w:t>凝聚奋进力量”专题网络培训班</w:t>
      </w:r>
    </w:p>
    <w:bookmarkEnd w:id="0"/>
    <w:p>
      <w:pPr>
        <w:spacing w:line="580" w:lineRule="exact"/>
        <w:jc w:val="center"/>
        <w:rPr>
          <w:rFonts w:ascii="方正小标宋简体" w:hAnsi="Times New Roman" w:eastAsia="方正小标宋简体" w:cs="Times New Roman"/>
          <w:w w:val="98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w w:val="98"/>
          <w:sz w:val="36"/>
          <w:szCs w:val="36"/>
        </w:rPr>
        <w:t>实施方案</w:t>
      </w:r>
    </w:p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为确保“学习百年党史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仿宋"/>
          <w:sz w:val="28"/>
          <w:szCs w:val="28"/>
        </w:rPr>
        <w:t>凝聚奋进力量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Times New Roman" w:hAnsi="Times New Roman" w:eastAsia="仿宋" w:cs="仿宋"/>
          <w:sz w:val="28"/>
          <w:szCs w:val="28"/>
        </w:rPr>
        <w:t>专题网络培训班顺利实施，特制订本方案。</w:t>
      </w:r>
    </w:p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一、培训内容</w:t>
      </w:r>
    </w:p>
    <w:p>
      <w:pPr>
        <w:spacing w:line="580" w:lineRule="exact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“学习百年党史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仿宋"/>
          <w:sz w:val="28"/>
          <w:szCs w:val="28"/>
        </w:rPr>
        <w:t>凝聚奋进力量”专题网络培训班课程列表如下：</w:t>
      </w:r>
    </w:p>
    <w:tbl>
      <w:tblPr>
        <w:tblStyle w:val="4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4"/>
        <w:gridCol w:w="1173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一、牢记初心使命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凝聚奋进力量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学好党史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奋勇前行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学习习近平总书记在党史学习教育动员大会上的重要讲话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中共中央党史和文献研究院研究员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不忘初心、牢记使命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深入学习习近平在“不忘初心、牢记使命”主题教育总结大会上的讲话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崔丽华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中国共产党百年历程与启示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彦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中共中央党校（国家行政学院）中共党史教研部毛泽东思想教研室主任、教授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中国共产党的初建与初心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毅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追问信仰与共产党人的初心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董振华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坚守信仰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绝对忠诚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不忘初心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牢记使命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刘玉平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刘光典烈士之子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二、学习党史国史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坚定理想信念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中国共产党的创立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祝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彦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中共中央党校（国家行政学院）中共教授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轰轰烈烈的大革命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国共两党与抗日战争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卢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毅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新中国的诞生与社会主义制度的确立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柳建辉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十一届三中全会与伟大历史转折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曹　普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中华人民共和国成立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周年光辉历程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祝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彦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在党的坚强领导下继往开来踏上改革开放新征程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马建堂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国务院发展研究中心党组书记、副主任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三、弘扬革命传统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传承红色基因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26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“红船精神”：新长征路上的精神底蕴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戴立兴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井冈山精神的内涵及其当代价值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陈胜华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中国井冈山干部学院教学科研部党史教研中心主任、教授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历史记忆中的长征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纪录片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抗战精神：中华民族复兴的强大精神动力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薛庆超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中共中央党史和文献研究院研究员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延安精神的时代价值与现实意义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郭必选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延安大学教授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“两个务必”和“赶考”智慧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中国共产党在西柏坡的伟大实践及精神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李庆安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中国西柏坡精神研究院副院长、西柏坡纪念馆副馆长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永不消逝的雷锋精神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徐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红色文化的精神内核与当代价值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洪向华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四、坚持党的领导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发挥制度优势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6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加强党的领导，为打赢疫情防控阻击战提供坚强政治保证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坚持中国共产党领导的制度优势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强化政治监督保障制度执行，增强“两个维护”的政治自觉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进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加强党的领导与全面从严治党的内在统一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董亚炜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新时代制度治党：实践价值、制度基础与关键环节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中央党校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国家行政学院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五、锤炼党性修养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永葆政治本色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政治修养是党性修养的灵魂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欲而不贪、宠辱不惊的人生智慧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杰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增强党性修养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做合格共产党员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孙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宁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中共北京市委党校（北京行政学院）党史党建教研部副教授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净化政治生态，永葆清正廉洁的政治本色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刘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春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</w:tbl>
    <w:p>
      <w:pPr>
        <w:widowControl/>
        <w:adjustRightInd w:val="0"/>
        <w:snapToGrid w:val="0"/>
        <w:spacing w:line="580" w:lineRule="exact"/>
        <w:textAlignment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hint="eastAsia" w:ascii="Times New Roman" w:hAnsi="Times New Roman" w:eastAsia="仿宋" w:cs="仿宋"/>
          <w:sz w:val="24"/>
          <w:szCs w:val="24"/>
        </w:rPr>
        <w:t>主讲人单位职务为课程录制时职务职称；</w:t>
      </w:r>
    </w:p>
    <w:p>
      <w:pPr>
        <w:widowControl/>
        <w:adjustRightInd w:val="0"/>
        <w:snapToGrid w:val="0"/>
        <w:spacing w:line="580" w:lineRule="exact"/>
        <w:ind w:firstLine="720" w:firstLineChars="300"/>
        <w:textAlignment w:val="center"/>
        <w:rPr>
          <w:rFonts w:ascii="仿宋" w:hAnsi="仿宋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课程名称以最终上线课程为准。</w:t>
      </w:r>
    </w:p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二、培训要求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（一）培训环节</w:t>
      </w:r>
    </w:p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培训设置课程学习、主题研讨、在线考试、心得撰写等四个环节，具体要求如下：</w:t>
      </w:r>
    </w:p>
    <w:p>
      <w:pPr>
        <w:spacing w:line="580" w:lineRule="exact"/>
        <w:ind w:firstLine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课程学习：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培训期间，参训学员结合实际情况自主选学</w:t>
      </w:r>
      <w:r>
        <w:rPr>
          <w:rFonts w:ascii="Times New Roman" w:hAnsi="Times New Roman" w:eastAsia="仿宋" w:cs="Times New Roman"/>
          <w:sz w:val="28"/>
          <w:szCs w:val="28"/>
        </w:rPr>
        <w:t>30</w:t>
      </w:r>
      <w:r>
        <w:rPr>
          <w:rFonts w:hint="eastAsia" w:ascii="Times New Roman" w:hAnsi="Times New Roman" w:eastAsia="仿宋" w:cs="仿宋"/>
          <w:sz w:val="28"/>
          <w:szCs w:val="28"/>
        </w:rPr>
        <w:t>学时（</w:t>
      </w:r>
      <w:r>
        <w:rPr>
          <w:rFonts w:ascii="Times New Roman" w:hAnsi="Times New Roman" w:eastAsia="仿宋" w:cs="Times New Roman"/>
          <w:sz w:val="28"/>
          <w:szCs w:val="28"/>
        </w:rPr>
        <w:t>45</w:t>
      </w:r>
      <w:r>
        <w:rPr>
          <w:rFonts w:hint="eastAsia" w:ascii="Times New Roman" w:hAnsi="Times New Roman" w:eastAsia="仿宋" w:cs="仿宋"/>
          <w:sz w:val="28"/>
          <w:szCs w:val="28"/>
        </w:rPr>
        <w:t>分钟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仿宋"/>
          <w:sz w:val="28"/>
          <w:szCs w:val="28"/>
        </w:rPr>
        <w:t>学时）的点播课程。</w:t>
      </w:r>
    </w:p>
    <w:p>
      <w:pPr>
        <w:spacing w:line="580" w:lineRule="exact"/>
        <w:ind w:firstLine="600"/>
        <w:rPr>
          <w:rFonts w:cs="Times New Roman"/>
          <w:sz w:val="20"/>
          <w:szCs w:val="20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主题研讨：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参训学员可结合“学习党史在新时代的重要意义”“如何在工作中践行党史精神”等主题开展线上小组讨论，也可结合所在单位的实际情况开展线下讨论。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在线考试：</w:t>
      </w:r>
      <w:r>
        <w:rPr>
          <w:rFonts w:hint="eastAsia" w:ascii="Times New Roman" w:hAnsi="Times New Roman" w:eastAsia="仿宋" w:cs="仿宋"/>
          <w:sz w:val="28"/>
          <w:szCs w:val="28"/>
        </w:rPr>
        <w:t>参训学员需参加在线考试，考核内容为党史国史相关内容，题型为单选、多选、判断，总分为</w:t>
      </w:r>
      <w:r>
        <w:rPr>
          <w:rFonts w:ascii="Times New Roman" w:hAnsi="Times New Roman" w:eastAsia="仿宋" w:cs="Times New Roman"/>
          <w:sz w:val="28"/>
          <w:szCs w:val="28"/>
        </w:rPr>
        <w:t>100</w:t>
      </w:r>
      <w:r>
        <w:rPr>
          <w:rFonts w:hint="eastAsia" w:ascii="Times New Roman" w:hAnsi="Times New Roman" w:eastAsia="仿宋" w:cs="仿宋"/>
          <w:sz w:val="28"/>
          <w:szCs w:val="28"/>
        </w:rPr>
        <w:t>分，考试时间为</w:t>
      </w:r>
      <w:r>
        <w:rPr>
          <w:rFonts w:ascii="Times New Roman" w:hAnsi="Times New Roman" w:eastAsia="仿宋" w:cs="Times New Roman"/>
          <w:sz w:val="28"/>
          <w:szCs w:val="28"/>
        </w:rPr>
        <w:t>90</w:t>
      </w:r>
      <w:r>
        <w:rPr>
          <w:rFonts w:hint="eastAsia" w:ascii="Times New Roman" w:hAnsi="Times New Roman" w:eastAsia="仿宋" w:cs="仿宋"/>
          <w:sz w:val="28"/>
          <w:szCs w:val="28"/>
        </w:rPr>
        <w:t>分钟。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心得撰写：</w:t>
      </w:r>
      <w:r>
        <w:rPr>
          <w:rFonts w:hint="eastAsia" w:ascii="Times New Roman" w:hAnsi="Times New Roman" w:eastAsia="仿宋" w:cs="仿宋"/>
          <w:sz w:val="28"/>
          <w:szCs w:val="28"/>
        </w:rPr>
        <w:t>参训学员结合学习所得与工作实际，撰写一篇不少于</w:t>
      </w:r>
      <w:r>
        <w:rPr>
          <w:rFonts w:ascii="Times New Roman" w:hAnsi="Times New Roman" w:eastAsia="仿宋" w:cs="Times New Roman"/>
          <w:sz w:val="28"/>
          <w:szCs w:val="28"/>
        </w:rPr>
        <w:t>800</w:t>
      </w:r>
      <w:r>
        <w:rPr>
          <w:rFonts w:hint="eastAsia" w:ascii="Times New Roman" w:hAnsi="Times New Roman" w:eastAsia="仿宋" w:cs="仿宋"/>
          <w:sz w:val="28"/>
          <w:szCs w:val="28"/>
        </w:rPr>
        <w:t>字心得体会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作为本次培训的研修成果</w:t>
      </w:r>
      <w:r>
        <w:rPr>
          <w:rFonts w:hint="eastAsia" w:ascii="Times New Roman" w:hAnsi="Times New Roman" w:eastAsia="仿宋" w:cs="仿宋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（二）培训考核</w:t>
      </w:r>
    </w:p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为确保培训质量和培训效果，培训采取</w:t>
      </w:r>
      <w:r>
        <w:rPr>
          <w:rFonts w:hint="eastAsia" w:ascii="仿宋" w:hAnsi="仿宋" w:eastAsia="仿宋" w:cs="仿宋"/>
          <w:sz w:val="28"/>
          <w:szCs w:val="28"/>
        </w:rPr>
        <w:t>“过程性评价”和“终结性评价”相结</w:t>
      </w:r>
      <w:r>
        <w:rPr>
          <w:rFonts w:hint="eastAsia" w:ascii="Times New Roman" w:hAnsi="Times New Roman" w:eastAsia="仿宋" w:cs="仿宋"/>
          <w:sz w:val="28"/>
          <w:szCs w:val="28"/>
        </w:rPr>
        <w:t>合的考核方法，关注学习过程，注重培训收获，完成培训考核要求，总成绩在</w:t>
      </w:r>
      <w:r>
        <w:rPr>
          <w:rFonts w:ascii="Times New Roman" w:hAnsi="Times New Roman" w:eastAsia="仿宋" w:cs="Times New Roman"/>
          <w:sz w:val="28"/>
          <w:szCs w:val="28"/>
        </w:rPr>
        <w:t>85</w:t>
      </w:r>
      <w:r>
        <w:rPr>
          <w:rFonts w:hint="eastAsia" w:ascii="Times New Roman" w:hAnsi="Times New Roman" w:eastAsia="仿宋" w:cs="仿宋"/>
          <w:sz w:val="28"/>
          <w:szCs w:val="28"/>
        </w:rPr>
        <w:t>分及以上的参训学员可在线打印学时证明。考核标准详见下表：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567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考核维度</w:t>
            </w:r>
          </w:p>
        </w:tc>
        <w:tc>
          <w:tcPr>
            <w:tcW w:w="56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考核标准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过程性评价</w:t>
            </w: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课程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学习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完成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30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学时（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45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分钟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学时）的必修课程学习任务。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主题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研讨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结合所列主题或自拟主题，至少组织开展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次主题研讨。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终结性评价</w:t>
            </w: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2"/>
                <w:szCs w:val="22"/>
              </w:rPr>
              <w:t>在线考试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在有效时间内完成在线考试，考试卷面总分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分，按考核比重折算后计入最终分数。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心得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撰写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提交一篇不少于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800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字的学习心得，要求思想性强、主题鲜明、条理清晰、结构完整、逻辑严谨、内容详实。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20%</w:t>
            </w:r>
          </w:p>
        </w:tc>
      </w:tr>
    </w:tbl>
    <w:p>
      <w:pPr>
        <w:spacing w:line="5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三、组织实施</w:t>
      </w:r>
    </w:p>
    <w:p>
      <w:pPr>
        <w:pStyle w:val="7"/>
        <w:spacing w:line="580" w:lineRule="exact"/>
        <w:ind w:firstLine="562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8"/>
          <w:szCs w:val="28"/>
        </w:rPr>
        <w:t>（一）组织管理：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建议以单位的形式组织参加培训，以班级为单位开展培训活动，各参训单位可开设多个班级。每班设班级管理员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名，负责本班教学活动的组织管理，班级管理员由参训单位相关负责人担任。同时，民政部培训中心组建教学管理团队，</w:t>
      </w:r>
      <w:r>
        <w:rPr>
          <w:rFonts w:hint="eastAsia" w:ascii="仿宋" w:hAnsi="仿宋" w:eastAsia="仿宋" w:cs="仿宋"/>
          <w:sz w:val="28"/>
          <w:szCs w:val="28"/>
        </w:rPr>
        <w:t>定期通报学员学情数据，进行督学促学，同参训单位共同保障培训学习进度和实效。</w:t>
      </w:r>
    </w:p>
    <w:p>
      <w:pPr>
        <w:pStyle w:val="7"/>
        <w:spacing w:line="580" w:lineRule="exact"/>
        <w:ind w:firstLine="562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8"/>
          <w:szCs w:val="28"/>
        </w:rPr>
        <w:t>（二）平台搭建：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民政部培训中心结合各参训单位报名需求为学员搭建专属学习空间，并建立班级和学习账号，各参训单位班级管理人员及时通知学员参加学习。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8"/>
          <w:szCs w:val="28"/>
        </w:rPr>
        <w:t>（三）学员学习：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参训学员认真阅读《中国民政人才网络学院操作手册》，登录中国民政人才网络学院或中国民政培训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APP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进行学习。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5735"/>
    <w:rsid w:val="1CCB18A6"/>
    <w:rsid w:val="41B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</w:style>
  <w:style w:type="paragraph" w:customStyle="1" w:styleId="7">
    <w:name w:val="列出段落1"/>
    <w:basedOn w:val="1"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2021-03-12T05:14:00Z</dcterms:created>
  <dc:creator>admin</dc:creator>
  <cp:lastModifiedBy>一叶编舟</cp:lastModifiedBy>
  <dcterms:modified xsi:type="dcterms:W3CDTF">2021-05-08T03:32:39Z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25084B01216A427AAD5683A404C3939D</vt:lpwstr>
  </property>
</Properties>
</file>