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left"/>
        <w:rPr>
          <w:rFonts w:ascii="Times New Roman" w:hAnsi="Times New Roman" w:eastAsia="黑体"/>
          <w:bCs/>
          <w:sz w:val="32"/>
          <w:szCs w:val="32"/>
        </w:rPr>
      </w:pPr>
      <w:bookmarkStart w:id="1" w:name="_GoBack"/>
      <w:bookmarkEnd w:id="1"/>
      <w:r>
        <w:rPr>
          <w:rFonts w:hint="eastAsia" w:ascii="Times New Roman" w:hAnsi="Times New Roman" w:eastAsia="黑体"/>
          <w:bCs/>
          <w:sz w:val="32"/>
          <w:szCs w:val="32"/>
        </w:rPr>
        <w:t>附件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普通高等学校本科教育教学审核评估</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指标体系</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spacing w:line="560" w:lineRule="exact"/>
        <w:rPr>
          <w:rFonts w:ascii="Times New Roman" w:hAnsi="Times New Roman" w:eastAsia="黑体"/>
          <w:sz w:val="30"/>
          <w:szCs w:val="30"/>
        </w:rPr>
      </w:pPr>
      <w:r>
        <w:rPr>
          <w:rFonts w:ascii="Times New Roman" w:hAnsi="Times New Roman" w:eastAsia="黑体"/>
          <w:sz w:val="30"/>
          <w:szCs w:val="30"/>
        </w:rPr>
        <w:t>一</w:t>
      </w:r>
      <w:r>
        <w:rPr>
          <w:rFonts w:hint="eastAsia" w:ascii="Times New Roman" w:hAnsi="Times New Roman" w:eastAsia="黑体"/>
          <w:sz w:val="30"/>
          <w:szCs w:val="30"/>
        </w:rPr>
        <w:t>、第一类审核评估</w:t>
      </w:r>
    </w:p>
    <w:tbl>
      <w:tblPr>
        <w:tblStyle w:val="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kern w:val="0"/>
                <w:szCs w:val="21"/>
              </w:rPr>
            </w:pPr>
            <w:r>
              <w:rPr>
                <w:rFonts w:hint="eastAsia" w:ascii="Times New Roman" w:hAnsi="Times New Roman" w:cs="宋体"/>
                <w:kern w:val="0"/>
                <w:szCs w:val="21"/>
              </w:rPr>
              <w:t>1</w:t>
            </w:r>
            <w:r>
              <w:rPr>
                <w:rFonts w:ascii="Times New Roman" w:hAnsi="Times New Roman" w:cs="宋体"/>
                <w:kern w:val="0"/>
                <w:szCs w:val="21"/>
              </w:rPr>
              <w:t>.</w:t>
            </w:r>
            <w:r>
              <w:rPr>
                <w:rFonts w:hint="eastAsia" w:ascii="Times New Roman" w:hAnsi="Times New Roman" w:cs="宋体"/>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hint="eastAsia" w:ascii="Times New Roman" w:hAnsi="Times New Roman" w:cs="宋体"/>
                <w:kern w:val="0"/>
                <w:szCs w:val="21"/>
              </w:rPr>
              <w:t>党的全面领导和</w:t>
            </w:r>
            <w:r>
              <w:rPr>
                <w:rFonts w:ascii="Times New Roman" w:hAnsi="Times New Roman" w:cs="宋体"/>
                <w:kern w:val="0"/>
                <w:szCs w:val="21"/>
              </w:rPr>
              <w:t>社会主义办学</w:t>
            </w:r>
            <w:r>
              <w:rPr>
                <w:rFonts w:hint="eastAsia" w:ascii="Times New Roman" w:hAnsi="Times New Roman" w:cs="宋体"/>
                <w:kern w:val="0"/>
                <w:szCs w:val="21"/>
              </w:rPr>
              <w:t>方向</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hint="eastAsia" w:ascii="Times New Roman" w:hAnsi="Times New Roman" w:cs="宋体"/>
                <w:kern w:val="0"/>
                <w:szCs w:val="21"/>
              </w:rPr>
              <w:t>学校坚持党的全面领导，依法治教、依法办学、依法治校，</w:t>
            </w:r>
            <w:r>
              <w:rPr>
                <w:rFonts w:ascii="Times New Roman" w:hAnsi="Times New Roman" w:cs="宋体"/>
                <w:kern w:val="0"/>
                <w:szCs w:val="21"/>
              </w:rPr>
              <w:t>围绕国家</w:t>
            </w:r>
            <w:r>
              <w:rPr>
                <w:rFonts w:hint="eastAsia" w:ascii="Times New Roman" w:hAnsi="Times New Roman" w:cs="宋体"/>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kern w:val="0"/>
                <w:szCs w:val="21"/>
              </w:rPr>
            </w:pPr>
            <w:r>
              <w:rPr>
                <w:rFonts w:ascii="Times New Roman" w:hAnsi="Times New Roman" w:cs="宋体"/>
                <w:kern w:val="0"/>
                <w:szCs w:val="21"/>
              </w:rPr>
              <w:t xml:space="preserve">1.1.2 </w:t>
            </w:r>
            <w:r>
              <w:rPr>
                <w:rFonts w:hint="eastAsia" w:ascii="Times New Roman" w:hAnsi="Times New Roman" w:cs="宋体"/>
                <w:kern w:val="0"/>
                <w:szCs w:val="21"/>
              </w:rPr>
              <w:t>学校坚持社会主义办学方向、贯彻落实立德树人根本任务、</w:t>
            </w:r>
            <w:r>
              <w:rPr>
                <w:rFonts w:hint="eastAsia" w:ascii="Times New Roman" w:hAnsi="Times New Roman" w:cs="宋体"/>
                <w:kern w:val="0"/>
                <w:szCs w:val="21"/>
                <w:lang w:val="zh-TW"/>
              </w:rPr>
              <w:t>把立德树人成效作为检验学校一切工作的根本标准</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hint="eastAsia" w:ascii="Times New Roman" w:hAnsi="Times New Roman" w:cs="宋体"/>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hint="eastAsia" w:ascii="Times New Roman" w:hAnsi="Times New Roman" w:cs="宋体"/>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hint="eastAsia" w:ascii="Times New Roman" w:hAnsi="Times New Roman" w:cs="宋体"/>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hint="eastAsia" w:ascii="Times New Roman" w:hAnsi="Times New Roman" w:cs="宋体"/>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hint="eastAsia" w:ascii="Times New Roman" w:hAnsi="Times New Roman" w:cs="宋体"/>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hint="eastAsia" w:ascii="Times New Roman" w:hAnsi="Times New Roman" w:cs="宋体"/>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hint="eastAsia" w:ascii="Times New Roman" w:hAnsi="Times New Roman" w:cs="宋体"/>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hint="eastAsia" w:ascii="Times New Roman" w:hAnsi="Times New Roman" w:cs="宋体"/>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hint="eastAsia" w:ascii="Times New Roman" w:hAnsi="Times New Roman" w:cs="宋体"/>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hint="eastAsia" w:ascii="Times New Roman" w:hAnsi="Times New Roman" w:cs="宋体"/>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hint="eastAsia" w:ascii="Times New Roman" w:hAnsi="Times New Roman" w:cs="宋体"/>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hint="eastAsia" w:ascii="Times New Roman" w:hAnsi="Times New Roman" w:cs="宋体"/>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hint="eastAsia" w:ascii="Times New Roman" w:hAnsi="Times New Roman" w:cs="宋体"/>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3.1思政教育</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1 落实意识形态工作</w:t>
            </w:r>
            <w:r>
              <w:rPr>
                <w:rFonts w:ascii="Times New Roman" w:hAnsi="Times New Roman" w:cs="宋体"/>
                <w:kern w:val="0"/>
                <w:szCs w:val="21"/>
              </w:rPr>
              <w:t>责任制，</w:t>
            </w:r>
            <w:r>
              <w:rPr>
                <w:rFonts w:hint="eastAsia" w:ascii="Times New Roman" w:hAnsi="Times New Roman" w:cs="宋体"/>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加强思想政治理论课教师队伍和思政课程建设情况，按要求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思政课专任教师与折合在校生比例≥1:350</w:t>
            </w:r>
          </w:p>
          <w:p>
            <w:pPr>
              <w:spacing w:line="300" w:lineRule="exact"/>
              <w:jc w:val="left"/>
              <w:rPr>
                <w:rFonts w:ascii="Times New Roman" w:hAnsi="Times New Roman" w:cs="宋体"/>
                <w:kern w:val="0"/>
                <w:szCs w:val="21"/>
              </w:rPr>
            </w:pPr>
            <w:r>
              <w:rPr>
                <w:rFonts w:hint="eastAsia" w:ascii="Times New Roman" w:hAnsi="Times New Roman" w:cs="宋体"/>
                <w:kern w:val="0"/>
                <w:szCs w:val="21"/>
              </w:rPr>
              <w:t>【必选】生均思政工作和党务工作队伍建设专项经费≥20元</w:t>
            </w:r>
          </w:p>
          <w:p>
            <w:pPr>
              <w:spacing w:line="300" w:lineRule="exact"/>
              <w:jc w:val="left"/>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必选</w:t>
            </w:r>
            <w:r>
              <w:rPr>
                <w:rFonts w:ascii="Times New Roman" w:hAnsi="Times New Roman" w:cs="宋体"/>
                <w:kern w:val="0"/>
                <w:szCs w:val="21"/>
              </w:rPr>
              <w:t>】</w:t>
            </w:r>
            <w:r>
              <w:rPr>
                <w:rFonts w:hint="eastAsia" w:ascii="Times New Roman" w:hAnsi="Times New Roman" w:cs="宋体"/>
                <w:kern w:val="0"/>
                <w:szCs w:val="21"/>
              </w:rPr>
              <w:t>专职党务工作人员和思想政治工作人员总数与全校师生人数比例≥1:100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40</w:t>
            </w:r>
            <w:r>
              <w:rPr>
                <w:rFonts w:hint="eastAsia" w:ascii="Times New Roman" w:hAnsi="Times New Roman"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 xml:space="preserve">3 </w:t>
            </w:r>
            <w:r>
              <w:rPr>
                <w:rFonts w:ascii="Times New Roman" w:hAnsi="Times New Roman" w:cs="宋体"/>
                <w:kern w:val="0"/>
                <w:szCs w:val="21"/>
              </w:rPr>
              <w:t>推动</w:t>
            </w:r>
            <w:r>
              <w:rPr>
                <w:rFonts w:hint="eastAsia" w:ascii="Times New Roman" w:hAnsi="Times New Roman" w:cs="宋体"/>
                <w:kern w:val="0"/>
                <w:szCs w:val="21"/>
              </w:rPr>
              <w:t>“</w:t>
            </w:r>
            <w:r>
              <w:rPr>
                <w:rFonts w:ascii="Times New Roman" w:hAnsi="Times New Roman" w:cs="宋体"/>
                <w:kern w:val="0"/>
                <w:szCs w:val="21"/>
              </w:rPr>
              <w:t>课程思政</w:t>
            </w:r>
            <w:r>
              <w:rPr>
                <w:rFonts w:hint="eastAsia" w:ascii="Times New Roman" w:hAnsi="Times New Roman" w:cs="宋体"/>
                <w:kern w:val="0"/>
                <w:szCs w:val="21"/>
              </w:rPr>
              <w:t>”</w:t>
            </w:r>
            <w:r>
              <w:rPr>
                <w:rFonts w:ascii="Times New Roman" w:hAnsi="Times New Roman" w:cs="宋体"/>
                <w:kern w:val="0"/>
                <w:szCs w:val="21"/>
              </w:rPr>
              <w:t>建设的创新举措与实施成效</w:t>
            </w:r>
            <w:r>
              <w:rPr>
                <w:rFonts w:hint="eastAsia" w:ascii="Times New Roman" w:hAnsi="Times New Roman" w:cs="宋体"/>
                <w:kern w:val="0"/>
                <w:szCs w:val="21"/>
              </w:rPr>
              <w:t>，课程思政示范课程、课程思政教学研究示范中心以及课程思政教学名师和</w:t>
            </w:r>
            <w:r>
              <w:rPr>
                <w:rFonts w:ascii="Times New Roman" w:hAnsi="Times New Roman" w:cs="宋体"/>
                <w:kern w:val="0"/>
                <w:szCs w:val="21"/>
              </w:rPr>
              <w:t>团队</w:t>
            </w:r>
            <w:r>
              <w:rPr>
                <w:rFonts w:hint="eastAsia" w:ascii="Times New Roman" w:hAnsi="Times New Roman" w:cs="宋体"/>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4</w:t>
            </w:r>
            <w:r>
              <w:rPr>
                <w:rFonts w:ascii="Times New Roman" w:hAnsi="Times New Roman" w:cs="宋体"/>
                <w:kern w:val="0"/>
                <w:szCs w:val="21"/>
              </w:rPr>
              <w:t xml:space="preserve"> 学校对教师</w:t>
            </w:r>
            <w:r>
              <w:rPr>
                <w:rFonts w:hint="eastAsia" w:ascii="Times New Roman" w:hAnsi="Times New Roman" w:cs="宋体"/>
                <w:kern w:val="0"/>
                <w:szCs w:val="21"/>
              </w:rPr>
              <w:t>、</w:t>
            </w:r>
            <w:r>
              <w:rPr>
                <w:rFonts w:ascii="Times New Roman" w:hAnsi="Times New Roman" w:cs="宋体"/>
                <w:kern w:val="0"/>
                <w:szCs w:val="21"/>
              </w:rPr>
              <w:t>学生出现思想政治</w:t>
            </w:r>
            <w:r>
              <w:rPr>
                <w:rFonts w:hint="eastAsia" w:ascii="Times New Roman" w:hAnsi="Times New Roman" w:cs="宋体"/>
                <w:kern w:val="0"/>
                <w:szCs w:val="21"/>
              </w:rPr>
              <w:t>、</w:t>
            </w:r>
            <w:r>
              <w:rPr>
                <w:rFonts w:ascii="Times New Roman" w:hAnsi="Times New Roman" w:cs="宋体"/>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hint="eastAsia" w:ascii="Times New Roman" w:hAnsi="Times New Roman" w:cs="宋体"/>
                <w:kern w:val="0"/>
                <w:szCs w:val="21"/>
              </w:rPr>
              <w:t>坚持“</w:t>
            </w:r>
            <w:r>
              <w:rPr>
                <w:rFonts w:ascii="Times New Roman" w:hAnsi="Times New Roman" w:cs="宋体"/>
                <w:kern w:val="0"/>
                <w:szCs w:val="21"/>
              </w:rPr>
              <w:t>以本为本</w:t>
            </w:r>
            <w:r>
              <w:rPr>
                <w:rFonts w:hint="eastAsia" w:ascii="Times New Roman" w:hAnsi="Times New Roman" w:cs="宋体"/>
                <w:kern w:val="0"/>
                <w:szCs w:val="21"/>
              </w:rPr>
              <w:t>”、推进“四个回归”情况；党委重视、校长主抓、院长落实一流本科教育的</w:t>
            </w:r>
            <w:r>
              <w:rPr>
                <w:rFonts w:ascii="Times New Roman" w:hAnsi="Times New Roman" w:cs="宋体"/>
                <w:kern w:val="0"/>
                <w:szCs w:val="21"/>
              </w:rPr>
              <w:t>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hint="eastAsia" w:ascii="Times New Roman" w:hAnsi="Times New Roman" w:cs="宋体"/>
                <w:kern w:val="0"/>
                <w:szCs w:val="21"/>
              </w:rPr>
              <w:t>学校</w:t>
            </w:r>
            <w:r>
              <w:rPr>
                <w:rFonts w:ascii="Times New Roman" w:hAnsi="Times New Roman" w:cs="宋体"/>
                <w:kern w:val="0"/>
                <w:szCs w:val="21"/>
              </w:rPr>
              <w:t>在教师</w:t>
            </w:r>
            <w:r>
              <w:rPr>
                <w:rFonts w:hint="eastAsia" w:ascii="Times New Roman" w:hAnsi="Times New Roman" w:cs="宋体"/>
                <w:kern w:val="0"/>
                <w:szCs w:val="21"/>
              </w:rPr>
              <w:t>引进、</w:t>
            </w:r>
            <w:r>
              <w:rPr>
                <w:rFonts w:ascii="Times New Roman" w:hAnsi="Times New Roman" w:cs="宋体"/>
                <w:kern w:val="0"/>
                <w:szCs w:val="21"/>
              </w:rPr>
              <w:t>职称评聘</w:t>
            </w:r>
            <w:r>
              <w:rPr>
                <w:rFonts w:hint="eastAsia" w:ascii="Times New Roman" w:hAnsi="Times New Roman" w:cs="宋体"/>
                <w:kern w:val="0"/>
                <w:szCs w:val="21"/>
              </w:rPr>
              <w:t>、</w:t>
            </w:r>
            <w:r>
              <w:rPr>
                <w:rFonts w:ascii="Times New Roman" w:hAnsi="Times New Roman" w:cs="宋体"/>
                <w:kern w:val="0"/>
                <w:szCs w:val="21"/>
              </w:rPr>
              <w:t>绩效考核</w:t>
            </w:r>
            <w:r>
              <w:rPr>
                <w:rFonts w:hint="eastAsia" w:ascii="Times New Roman" w:hAnsi="Times New Roman" w:cs="宋体"/>
                <w:kern w:val="0"/>
                <w:szCs w:val="21"/>
              </w:rPr>
              <w:t>等制度设计</w:t>
            </w:r>
            <w:r>
              <w:rPr>
                <w:rFonts w:ascii="Times New Roman" w:hAnsi="Times New Roman" w:cs="宋体"/>
                <w:kern w:val="0"/>
                <w:szCs w:val="21"/>
              </w:rPr>
              <w:t>中突出本科教育的具体举措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hint="eastAsia" w:ascii="Times New Roman" w:hAnsi="Times New Roman" w:cs="宋体"/>
                <w:kern w:val="0"/>
                <w:szCs w:val="21"/>
              </w:rPr>
              <w:t>落实师德师风是评价教师第一标准的情况，落实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hint="eastAsia" w:ascii="Times New Roman" w:hAnsi="Times New Roman" w:cs="宋体"/>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生师比（要求见备注</w:t>
            </w:r>
            <w:r>
              <w:rPr>
                <w:rFonts w:ascii="Times New Roman" w:hAnsi="Times New Roman" w:cs="Times New Roman"/>
                <w:szCs w:val="21"/>
              </w:rPr>
              <w:t>3</w:t>
            </w:r>
            <w:r>
              <w:rPr>
                <w:rFonts w:hint="eastAsia" w:ascii="Times New Roman" w:hAnsi="Times New Roman" w:cs="Times New Roman"/>
                <w:szCs w:val="21"/>
              </w:rPr>
              <w:t>）</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具有博士学位教师占专任教师比例</w:t>
            </w:r>
          </w:p>
          <w:p>
            <w:pPr>
              <w:widowControl/>
              <w:spacing w:line="300" w:lineRule="exact"/>
              <w:jc w:val="left"/>
              <w:rPr>
                <w:rFonts w:ascii="Times New Roman" w:hAnsi="Times New Roman" w:cs="Times New Roman"/>
                <w:szCs w:val="21"/>
              </w:rPr>
            </w:pPr>
            <w:r>
              <w:rPr>
                <w:rFonts w:hint="eastAsia" w:ascii="Times New Roman" w:hAnsi="Times New Roman" w:cs="宋体"/>
                <w:szCs w:val="21"/>
              </w:rPr>
              <w:t>【</w:t>
            </w:r>
            <w:r>
              <w:rPr>
                <w:rFonts w:hint="eastAsia" w:ascii="Times New Roman" w:hAnsi="Times New Roman" w:cs="宋体"/>
                <w:kern w:val="0"/>
                <w:szCs w:val="21"/>
              </w:rPr>
              <w:t>必选】</w:t>
            </w:r>
            <w:r>
              <w:rPr>
                <w:rFonts w:hint="eastAsia" w:ascii="Times New Roman" w:hAnsi="Times New Roman" w:cs="宋体"/>
                <w:szCs w:val="21"/>
              </w:rPr>
              <w:t>主讲本科课程教授占教授总数的比例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hint="eastAsia" w:ascii="Times New Roman" w:hAnsi="Times New Roman" w:cs="宋体"/>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hint="eastAsia" w:ascii="Times New Roman" w:hAnsi="Times New Roman" w:cs="宋体"/>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3.4学生</w:t>
            </w:r>
            <w:r>
              <w:rPr>
                <w:rFonts w:hint="eastAsia" w:ascii="Times New Roman" w:hAnsi="Times New Roman" w:cs="宋体"/>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3.4.1 面向</w:t>
            </w:r>
            <w:r>
              <w:rPr>
                <w:rFonts w:hint="eastAsia" w:ascii="Times New Roman" w:hAnsi="Times New Roman" w:cs="宋体"/>
                <w:kern w:val="0"/>
                <w:szCs w:val="21"/>
              </w:rPr>
              <w:t>农村</w:t>
            </w:r>
            <w:r>
              <w:rPr>
                <w:rFonts w:ascii="Times New Roman" w:hAnsi="Times New Roman" w:cs="宋体"/>
                <w:kern w:val="0"/>
                <w:szCs w:val="21"/>
              </w:rPr>
              <w:t>和贫困地区</w:t>
            </w:r>
            <w:r>
              <w:rPr>
                <w:rFonts w:hint="eastAsia" w:ascii="Times New Roman" w:hAnsi="Times New Roman" w:cs="宋体"/>
                <w:kern w:val="0"/>
                <w:szCs w:val="21"/>
              </w:rPr>
              <w:t>、</w:t>
            </w:r>
            <w:r>
              <w:rPr>
                <w:rFonts w:ascii="Times New Roman" w:hAnsi="Times New Roman" w:cs="宋体"/>
                <w:kern w:val="0"/>
                <w:szCs w:val="21"/>
              </w:rPr>
              <w:t>民族地区等</w:t>
            </w:r>
            <w:r>
              <w:rPr>
                <w:rFonts w:hint="eastAsia" w:ascii="Times New Roman" w:hAnsi="Times New Roman" w:cs="宋体"/>
                <w:kern w:val="0"/>
                <w:szCs w:val="21"/>
              </w:rPr>
              <w:t>以及“强基计划”的</w:t>
            </w:r>
            <w:r>
              <w:rPr>
                <w:rFonts w:ascii="Times New Roman" w:hAnsi="Times New Roman" w:cs="宋体"/>
                <w:kern w:val="0"/>
                <w:szCs w:val="21"/>
              </w:rPr>
              <w:t>招生</w:t>
            </w:r>
            <w:r>
              <w:rPr>
                <w:rFonts w:hint="eastAsia" w:ascii="Times New Roman" w:hAnsi="Times New Roman" w:cs="宋体"/>
                <w:kern w:val="0"/>
                <w:szCs w:val="21"/>
              </w:rPr>
              <w:t>、</w:t>
            </w:r>
            <w:r>
              <w:rPr>
                <w:rFonts w:ascii="Times New Roman" w:hAnsi="Times New Roman" w:cs="宋体"/>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hint="eastAsia" w:ascii="Times New Roman" w:hAnsi="Times New Roman" w:cs="宋体"/>
                <w:kern w:val="0"/>
                <w:szCs w:val="21"/>
              </w:rPr>
              <w:t>促进学生德智体美劳全面发展，建立系统化</w:t>
            </w:r>
            <w:r>
              <w:rPr>
                <w:rFonts w:ascii="Times New Roman" w:hAnsi="Times New Roman" w:cs="宋体"/>
                <w:kern w:val="0"/>
                <w:szCs w:val="21"/>
              </w:rPr>
              <w:t>的学生发展和学业指导体系，</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【必选】专职从事心理健康教育教师与在校生比例≥1:4000且至少2名</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【必选】专职就业指导教师和专职就业工作人员与应届毕业生比例≥1:500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【必选】学生毕业必须修满公共艺术课程学分数≥2学分</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【必选】劳动教育必修课或必修课程中劳动教育模块学时总数≥32学时</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【必选】实践教学学分占总学分（学时）比例（人文社科类专业≥15%，理工农医类专业≥25%）</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【必选】以实验、实习、工程实践和社会调查等实践性工作为基础的</w:t>
            </w:r>
            <w:r>
              <w:rPr>
                <w:rFonts w:ascii="Times New Roman" w:hAnsi="Times New Roman" w:cs="Times New Roman"/>
                <w:szCs w:val="21"/>
              </w:rPr>
              <w:t>毕业</w:t>
            </w:r>
            <w:r>
              <w:rPr>
                <w:rFonts w:hint="eastAsia" w:ascii="Times New Roman" w:hAnsi="Times New Roman" w:cs="Times New Roman"/>
                <w:szCs w:val="21"/>
              </w:rPr>
              <w:t>论文（设计）比例≥50%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【必选】本科生体质测试达标率</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hint="eastAsia" w:ascii="Times New Roman" w:hAnsi="Times New Roman" w:cs="宋体"/>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3.5.1 实施</w:t>
            </w:r>
            <w:r>
              <w:rPr>
                <w:rFonts w:hint="eastAsia" w:ascii="Times New Roman" w:hAnsi="Times New Roman" w:cs="宋体"/>
                <w:kern w:val="0"/>
                <w:szCs w:val="21"/>
              </w:rPr>
              <w:t>“六卓越一拔尖”人才培养计划2.0、新工科、新农科、新医科、新文科建设以及一流专业“双万计划”、</w:t>
            </w:r>
            <w:r>
              <w:rPr>
                <w:rFonts w:ascii="Times New Roman" w:hAnsi="Times New Roman" w:cs="宋体"/>
                <w:kern w:val="0"/>
                <w:szCs w:val="21"/>
              </w:rPr>
              <w:t>一流课程</w:t>
            </w:r>
            <w:r>
              <w:rPr>
                <w:rFonts w:hint="eastAsia" w:ascii="Times New Roman" w:hAnsi="Times New Roman" w:cs="宋体"/>
                <w:kern w:val="0"/>
                <w:szCs w:val="21"/>
              </w:rPr>
              <w:t>“双万计划”建设等举措及实施成效，</w:t>
            </w:r>
            <w:r>
              <w:rPr>
                <w:rFonts w:ascii="Times New Roman" w:hAnsi="Times New Roman" w:cs="宋体"/>
                <w:kern w:val="0"/>
                <w:szCs w:val="21"/>
              </w:rPr>
              <w:t>围绕</w:t>
            </w:r>
            <w:r>
              <w:rPr>
                <w:rFonts w:hint="eastAsia" w:ascii="Times New Roman" w:hAnsi="Times New Roman" w:cs="宋体"/>
                <w:kern w:val="0"/>
                <w:szCs w:val="21"/>
              </w:rPr>
              <w:t>“培育高水平</w:t>
            </w:r>
            <w:r>
              <w:rPr>
                <w:rFonts w:ascii="Times New Roman" w:hAnsi="Times New Roman" w:cs="宋体"/>
                <w:kern w:val="0"/>
                <w:szCs w:val="21"/>
              </w:rPr>
              <w:t>教学成果</w:t>
            </w:r>
            <w:r>
              <w:rPr>
                <w:rFonts w:hint="eastAsia" w:ascii="Times New Roman" w:hAnsi="Times New Roman" w:cs="宋体"/>
                <w:kern w:val="0"/>
                <w:szCs w:val="21"/>
              </w:rPr>
              <w:t>”开展</w:t>
            </w:r>
            <w:r>
              <w:rPr>
                <w:rFonts w:ascii="Times New Roman" w:hAnsi="Times New Roman" w:cs="宋体"/>
                <w:kern w:val="0"/>
                <w:szCs w:val="21"/>
              </w:rPr>
              <w:t>教研教改项目建设</w:t>
            </w:r>
            <w:r>
              <w:rPr>
                <w:rFonts w:hint="eastAsia" w:ascii="Times New Roman" w:hAnsi="Times New Roman" w:cs="宋体"/>
                <w:kern w:val="0"/>
                <w:szCs w:val="21"/>
              </w:rPr>
              <w:t>的举措</w:t>
            </w:r>
            <w:r>
              <w:rPr>
                <w:rFonts w:ascii="Times New Roman" w:hAnsi="Times New Roman" w:cs="宋体"/>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hint="eastAsia" w:ascii="Times New Roman" w:hAnsi="Times New Roman" w:cs="宋体"/>
                <w:kern w:val="0"/>
                <w:szCs w:val="21"/>
              </w:rPr>
              <w:t>推动“</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的课堂教学改革</w:t>
            </w:r>
            <w:r>
              <w:rPr>
                <w:rFonts w:hint="eastAsia" w:ascii="Times New Roman" w:hAnsi="Times New Roman" w:cs="宋体"/>
                <w:kern w:val="0"/>
                <w:szCs w:val="21"/>
              </w:rPr>
              <w:t>，推进</w:t>
            </w:r>
            <w:r>
              <w:rPr>
                <w:rFonts w:ascii="Times New Roman" w:hAnsi="Times New Roman" w:cs="宋体"/>
                <w:kern w:val="0"/>
                <w:szCs w:val="21"/>
              </w:rPr>
              <w:t>信息技术与教学过程融合</w:t>
            </w:r>
            <w:r>
              <w:rPr>
                <w:rFonts w:hint="eastAsia" w:ascii="Times New Roman" w:hAnsi="Times New Roman" w:cs="宋体"/>
                <w:kern w:val="0"/>
                <w:szCs w:val="21"/>
              </w:rPr>
              <w:t>，加强线上</w:t>
            </w:r>
            <w:r>
              <w:rPr>
                <w:rFonts w:ascii="Times New Roman" w:hAnsi="Times New Roman" w:cs="宋体"/>
                <w:kern w:val="0"/>
                <w:szCs w:val="21"/>
              </w:rPr>
              <w:t>教学资源建设，</w:t>
            </w:r>
            <w:r>
              <w:rPr>
                <w:rFonts w:hint="eastAsia" w:ascii="Times New Roman" w:hAnsi="Times New Roman" w:cs="宋体"/>
                <w:kern w:val="0"/>
                <w:szCs w:val="21"/>
              </w:rPr>
              <w:t>提高课程</w:t>
            </w:r>
            <w:r>
              <w:rPr>
                <w:rFonts w:ascii="Times New Roman" w:hAnsi="Times New Roman" w:cs="宋体"/>
                <w:kern w:val="0"/>
                <w:szCs w:val="21"/>
              </w:rPr>
              <w:t>高阶性、创新性和挑战度的</w:t>
            </w:r>
            <w:r>
              <w:rPr>
                <w:rFonts w:hint="eastAsia" w:ascii="Times New Roman" w:hAnsi="Times New Roman" w:cs="宋体"/>
                <w:kern w:val="0"/>
                <w:szCs w:val="21"/>
              </w:rPr>
              <w:t>举措与实施成效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【必选】本科生生均课程门数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【可选】开出任选课和课程总数比例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【可选】小班授课比例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hint="eastAsia" w:ascii="Times New Roman" w:hAnsi="Times New Roman" w:cs="宋体"/>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hint="eastAsia" w:ascii="Times New Roman" w:hAnsi="Times New Roman" w:cs="宋体"/>
                <w:kern w:val="0"/>
                <w:szCs w:val="21"/>
              </w:rPr>
              <w:t>；对教材选用工作出现负面问题的处理情况</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hint="eastAsia" w:ascii="Times New Roman" w:hAnsi="Times New Roman" w:cs="宋体"/>
                <w:kern w:val="0"/>
                <w:szCs w:val="21"/>
              </w:rPr>
              <w:t>资源建设，特别是优质的学科资源、科研资源转化应用于本科教育教学的情况</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w:t>
            </w:r>
            <w:bookmarkStart w:id="0" w:name="_Hlk61602326"/>
            <w:r>
              <w:rPr>
                <w:rFonts w:hint="eastAsia" w:ascii="Times New Roman" w:hAnsi="Times New Roman" w:cs="宋体"/>
                <w:kern w:val="0"/>
                <w:szCs w:val="21"/>
              </w:rPr>
              <w:t>生均年教学日常运行支出</w:t>
            </w:r>
            <w:bookmarkEnd w:id="0"/>
            <w:r>
              <w:rPr>
                <w:rFonts w:hint="eastAsia" w:ascii="Times New Roman" w:hAnsi="Times New Roman" w:cs="宋体"/>
                <w:kern w:val="0"/>
                <w:szCs w:val="21"/>
              </w:rPr>
              <w:t>≥1200元（备注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【必选】年新增教学科研仪器设备所占比例（要求见备注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宋体"/>
                <w:kern w:val="0"/>
                <w:szCs w:val="21"/>
              </w:rPr>
              <w:t>可选】</w:t>
            </w:r>
            <w:r>
              <w:rPr>
                <w:rFonts w:hint="eastAsia" w:ascii="Times New Roman" w:hAnsi="Times New Roman" w:cs="Times New Roman"/>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hint="eastAsia" w:ascii="Times New Roman" w:hAnsi="Times New Roman" w:cs="宋体"/>
                <w:kern w:val="0"/>
                <w:szCs w:val="21"/>
              </w:rPr>
              <w:t>推动</w:t>
            </w:r>
            <w:r>
              <w:rPr>
                <w:rFonts w:ascii="Times New Roman" w:hAnsi="Times New Roman" w:cs="宋体"/>
                <w:kern w:val="0"/>
                <w:szCs w:val="21"/>
              </w:rPr>
              <w:t>招生</w:t>
            </w:r>
            <w:r>
              <w:rPr>
                <w:rFonts w:hint="eastAsia" w:ascii="Times New Roman" w:hAnsi="Times New Roman" w:cs="宋体"/>
                <w:kern w:val="0"/>
                <w:szCs w:val="21"/>
              </w:rPr>
              <w:t>与</w:t>
            </w:r>
            <w:r>
              <w:rPr>
                <w:rFonts w:ascii="Times New Roman" w:hAnsi="Times New Roman" w:cs="宋体"/>
                <w:kern w:val="0"/>
                <w:szCs w:val="21"/>
              </w:rPr>
              <w:t>培养联动改革的</w:t>
            </w:r>
            <w:r>
              <w:rPr>
                <w:rFonts w:hint="eastAsia" w:ascii="Times New Roman" w:hAnsi="Times New Roman" w:cs="宋体"/>
                <w:kern w:val="0"/>
                <w:szCs w:val="21"/>
              </w:rPr>
              <w:t>举措</w:t>
            </w:r>
            <w:r>
              <w:rPr>
                <w:rFonts w:ascii="Times New Roman" w:hAnsi="Times New Roman" w:cs="宋体"/>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3.5.6 推动人才培养国际化的具体举措与成效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【可选】专任教师中具有一年以上国（境）外经历的教师比例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【可选】在学期间赴国（境）外高校访学的学生数占在校生数的比例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hint="eastAsia" w:ascii="Times New Roman" w:hAnsi="Times New Roman" w:cs="宋体"/>
                <w:kern w:val="0"/>
                <w:szCs w:val="21"/>
              </w:rPr>
              <w:t>就业与创新创业</w:t>
            </w:r>
            <w:r>
              <w:rPr>
                <w:rFonts w:ascii="Times New Roman" w:hAnsi="Times New Roman" w:cs="宋体"/>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hint="eastAsia" w:ascii="Times New Roman" w:hAnsi="Times New Roman" w:cs="宋体"/>
                <w:kern w:val="0"/>
                <w:szCs w:val="21"/>
              </w:rPr>
              <w:t>将创新创业教育贯穿于人才培养全过程、融入专业教育的举措及成效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【可选】产学合作协同育人项目数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【可选】本科生参加各级各类创新创业实践活动人数及比例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hint="eastAsia" w:ascii="Times New Roman" w:hAnsi="Times New Roman" w:cs="宋体"/>
                <w:kern w:val="0"/>
                <w:szCs w:val="21"/>
              </w:rPr>
              <w:t>以高水平的科学研究提高学生创新创业能力的情况</w:t>
            </w:r>
          </w:p>
          <w:p>
            <w:pPr>
              <w:widowControl/>
              <w:spacing w:line="300" w:lineRule="exact"/>
              <w:jc w:val="left"/>
              <w:rPr>
                <w:rFonts w:ascii="Times New Roman" w:hAnsi="Times New Roman" w:cs="宋体"/>
                <w:kern w:val="0"/>
                <w:szCs w:val="21"/>
              </w:rPr>
            </w:pPr>
            <w:r>
              <w:rPr>
                <w:rFonts w:hint="eastAsia" w:ascii="Times New Roman" w:hAnsi="Times New Roman" w:cs="Times New Roman"/>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hint="eastAsia" w:ascii="Times New Roman" w:hAnsi="Times New Roman" w:cs="宋体"/>
                <w:kern w:val="0"/>
                <w:szCs w:val="21"/>
              </w:rPr>
              <w:t>开展</w:t>
            </w:r>
            <w:r>
              <w:rPr>
                <w:rFonts w:ascii="Times New Roman" w:hAnsi="Times New Roman" w:cs="宋体"/>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hint="eastAsia" w:ascii="Times New Roman" w:hAnsi="Times New Roman" w:cs="宋体"/>
                <w:kern w:val="0"/>
                <w:szCs w:val="21"/>
              </w:rPr>
              <w:t>、</w:t>
            </w:r>
            <w:r>
              <w:rPr>
                <w:rFonts w:ascii="Times New Roman" w:hAnsi="Times New Roman" w:cs="宋体"/>
                <w:kern w:val="0"/>
                <w:szCs w:val="21"/>
              </w:rPr>
              <w:t>整体性</w:t>
            </w:r>
            <w:r>
              <w:rPr>
                <w:rFonts w:hint="eastAsia" w:ascii="Times New Roman" w:hAnsi="Times New Roman" w:cs="宋体"/>
                <w:kern w:val="0"/>
                <w:szCs w:val="21"/>
              </w:rPr>
              <w:t>、</w:t>
            </w:r>
            <w:r>
              <w:rPr>
                <w:rFonts w:ascii="Times New Roman" w:hAnsi="Times New Roman" w:cs="宋体"/>
                <w:kern w:val="0"/>
                <w:szCs w:val="21"/>
              </w:rPr>
              <w:t>前瞻性</w:t>
            </w:r>
            <w:r>
              <w:rPr>
                <w:rFonts w:hint="eastAsia" w:ascii="Times New Roman" w:hAnsi="Times New Roman" w:cs="宋体"/>
                <w:kern w:val="0"/>
                <w:szCs w:val="21"/>
              </w:rPr>
              <w:t>、</w:t>
            </w:r>
            <w:r>
              <w:rPr>
                <w:rFonts w:ascii="Times New Roman" w:hAnsi="Times New Roman" w:cs="宋体"/>
                <w:kern w:val="0"/>
                <w:szCs w:val="21"/>
              </w:rPr>
              <w:t>协同性的本科教育教学综合改革与创新实践</w:t>
            </w:r>
            <w:r>
              <w:rPr>
                <w:rFonts w:hint="eastAsia" w:ascii="Times New Roman" w:hAnsi="Times New Roman" w:cs="宋体"/>
                <w:kern w:val="0"/>
                <w:szCs w:val="21"/>
              </w:rPr>
              <w:t>，且在国际上具有一定代表性</w:t>
            </w:r>
          </w:p>
        </w:tc>
      </w:tr>
    </w:tbl>
    <w:p>
      <w:pPr>
        <w:spacing w:line="300" w:lineRule="exact"/>
        <w:rPr>
          <w:rFonts w:ascii="Times New Roman" w:hAnsi="Times New Roman" w:cs="Times New Roman"/>
          <w:b/>
          <w:sz w:val="24"/>
          <w:szCs w:val="24"/>
          <w:lang w:val="zh-TW"/>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该定量指标学校可结合办学实际和优势特色，从高等教育质量监测国家数据平台提供的教学基本状态常态监测数据中自主选择，进行等量或超量替换。</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4.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r>
        <w:rPr>
          <w:rFonts w:ascii="Times New Roman" w:hAnsi="Times New Roman" w:eastAsia="仿宋_GB2312"/>
          <w:sz w:val="28"/>
          <w:szCs w:val="28"/>
        </w:rPr>
        <w:br w:type="page"/>
      </w:r>
    </w:p>
    <w:p>
      <w:pPr>
        <w:spacing w:line="560" w:lineRule="exact"/>
        <w:rPr>
          <w:rFonts w:ascii="Times New Roman" w:hAnsi="Times New Roman" w:eastAsia="黑体"/>
          <w:sz w:val="30"/>
          <w:szCs w:val="30"/>
        </w:rPr>
      </w:pPr>
      <w:r>
        <w:rPr>
          <w:rFonts w:hint="eastAsia" w:ascii="Times New Roman" w:hAnsi="Times New Roman" w:eastAsia="黑体"/>
          <w:sz w:val="30"/>
          <w:szCs w:val="30"/>
        </w:rPr>
        <w:t>二、第二类审核评估</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专业设置、专业建设与国家重大发展战略及社会对创新型人才需求的契合情况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围绕国家和区域经济发展需求，建立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学校与科研院所、企业共建科研实践、实习实训基地情况</w:t>
            </w:r>
          </w:p>
          <w:p>
            <w:pPr>
              <w:widowControl/>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毕业论文（</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）选题来自教师专业实践、科研课题情况及完成质量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科教协同</w:t>
            </w:r>
            <w:r>
              <w:rPr>
                <w:rFonts w:hint="eastAsia" w:ascii="Times New Roman" w:hAnsi="Times New Roman" w:cs="宋体"/>
                <w:color w:val="000000"/>
                <w:kern w:val="0"/>
                <w:szCs w:val="21"/>
              </w:rPr>
              <w:t>拔尖人才培养模式改革及其实践效果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X3.1</w:t>
            </w:r>
            <w:r>
              <w:rPr>
                <w:rFonts w:ascii="Times New Roman" w:hAnsi="Times New Roman" w:cs="宋体"/>
                <w:color w:val="000000"/>
                <w:kern w:val="0"/>
                <w:szCs w:val="21"/>
              </w:rPr>
              <w:t>设施</w:t>
            </w:r>
          </w:p>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3.1.1</w:t>
            </w:r>
            <w:r>
              <w:rPr>
                <w:rFonts w:ascii="Times New Roman" w:hAnsi="Times New Roman" w:cs="Times New Roman"/>
                <w:szCs w:val="21"/>
              </w:rPr>
              <w:t xml:space="preserve"> </w:t>
            </w:r>
            <w:r>
              <w:rPr>
                <w:rFonts w:hint="eastAsia" w:ascii="Times New Roman" w:hAnsi="Times New Roman" w:cs="宋体"/>
                <w:color w:val="000000"/>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3.1.2</w:t>
            </w:r>
            <w:r>
              <w:rPr>
                <w:rFonts w:ascii="Times New Roman" w:hAnsi="Times New Roman" w:cs="Times New Roman"/>
                <w:szCs w:val="21"/>
              </w:rPr>
              <w:t xml:space="preserve"> </w:t>
            </w:r>
            <w:r>
              <w:rPr>
                <w:rFonts w:hint="eastAsia" w:ascii="Times New Roman" w:hAnsi="Times New Roman" w:cs="宋体"/>
                <w:color w:val="000000"/>
                <w:kern w:val="0"/>
                <w:szCs w:val="21"/>
              </w:rPr>
              <w:t>校舍、运动场所、体育设施、艺术场馆</w:t>
            </w:r>
            <w:r>
              <w:rPr>
                <w:rFonts w:ascii="Times New Roman" w:hAnsi="Times New Roman" w:cs="宋体"/>
                <w:color w:val="000000"/>
                <w:kern w:val="0"/>
                <w:szCs w:val="21"/>
              </w:rPr>
              <w:t>、</w:t>
            </w:r>
            <w:r>
              <w:rPr>
                <w:rFonts w:hint="eastAsia" w:ascii="Times New Roman" w:hAnsi="Times New Roman" w:cs="宋体"/>
                <w:color w:val="000000"/>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B1 优质</w:t>
            </w:r>
            <w:r>
              <w:rPr>
                <w:rFonts w:hint="eastAsia" w:ascii="Times New Roman" w:hAnsi="Times New Roman" w:cs="宋体"/>
                <w:color w:val="000000"/>
                <w:kern w:val="0"/>
                <w:szCs w:val="21"/>
              </w:rPr>
              <w:t>教学资源建设及其共享</w:t>
            </w:r>
            <w:r>
              <w:rPr>
                <w:rFonts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hint="eastAsia" w:ascii="Times New Roman" w:hAnsi="Times New Roman" w:cs="宋体"/>
                <w:kern w:val="0"/>
                <w:szCs w:val="21"/>
              </w:rPr>
              <w:t>面向国家、行业领域需求</w:t>
            </w:r>
            <w:r>
              <w:rPr>
                <w:rFonts w:ascii="Times New Roman" w:hAnsi="Times New Roman" w:cs="宋体"/>
                <w:kern w:val="0"/>
                <w:szCs w:val="21"/>
              </w:rPr>
              <w:t>的</w:t>
            </w:r>
            <w:r>
              <w:rPr>
                <w:rFonts w:hint="eastAsia" w:ascii="Times New Roman" w:hAnsi="Times New Roman" w:cs="宋体"/>
                <w:kern w:val="0"/>
                <w:szCs w:val="21"/>
              </w:rPr>
              <w:t>高水平</w:t>
            </w:r>
            <w:r>
              <w:rPr>
                <w:rFonts w:ascii="Times New Roman" w:hAnsi="Times New Roman" w:cs="宋体"/>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学科资源</w:t>
            </w:r>
            <w:r>
              <w:rPr>
                <w:rFonts w:hint="eastAsia" w:ascii="Times New Roman" w:hAnsi="Times New Roman" w:cs="宋体"/>
                <w:color w:val="000000"/>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hint="eastAsia" w:ascii="Times New Roman" w:hAnsi="Times New Roman" w:cs="宋体"/>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B1 提升教师教学能力、实践能力、科研能力、</w:t>
            </w:r>
            <w:r>
              <w:rPr>
                <w:rFonts w:ascii="Times New Roman" w:hAnsi="Times New Roman" w:cs="宋体"/>
                <w:kern w:val="0"/>
                <w:szCs w:val="21"/>
              </w:rPr>
              <w:t>信息技术应用能力</w:t>
            </w:r>
            <w:r>
              <w:rPr>
                <w:rFonts w:hint="eastAsia" w:ascii="Times New Roman" w:hAnsi="Times New Roman" w:cs="宋体"/>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学生基础理论、知识面和创新能力</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毕业生面向国家和经济社会发展需要就业情况、就业质量和职业发展情况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27E06E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网格型1"/>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2"/>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7"/>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1 Char"/>
    <w:basedOn w:val="10"/>
    <w:link w:val="2"/>
    <w:qFormat/>
    <w:uiPriority w:val="9"/>
    <w:rPr>
      <w:rFonts w:ascii="宋体" w:hAnsi="宋体" w:eastAsia="黑体" w:cs="宋体"/>
      <w:b/>
      <w:bCs/>
      <w:kern w:val="36"/>
      <w:sz w:val="32"/>
      <w:szCs w:val="4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70210-1A21-4E76-AE85-26939305328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1657</Words>
  <Characters>9451</Characters>
  <Lines>78</Lines>
  <Paragraphs>22</Paragraphs>
  <TotalTime>0</TotalTime>
  <ScaleCrop>false</ScaleCrop>
  <LinksUpToDate>false</LinksUpToDate>
  <CharactersWithSpaces>11086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2021-02-05T06:58:00Z</dcterms:created>
  <dc:creator>duo duo</dc:creator>
  <cp:lastModifiedBy>孙赛</cp:lastModifiedBy>
  <cp:lastPrinted>2021-01-27T06:26:00Z</cp:lastPrinted>
  <dcterms:modified xsi:type="dcterms:W3CDTF">2021-08-26T06:03:53Z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B77F832835C54FA2A2FA5B52304198CB</vt:lpwstr>
  </property>
</Properties>
</file>