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lang w:val="en-US" w:eastAsia="zh-CN"/>
        </w:rPr>
        <w:t>2021年“童语同音”计划线下培训项目指南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一、目标任务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7个项目省份，共8000名普通话水平不达标或普通话能力较弱的幼儿园教师进行7天（或不少于40学时）的线下培训，并适当融入个性化线上辅导。线下培训应当围绕教师普通话水平提升、普通话教学能力提升、幼儿园语言教学等方面开展，使学员的普通话水平和教育教学水平在短期内得到一定程度的提升，对加强学前儿童普通话教育起到示范带动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二、培训实施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（一）培训实施方案应按照为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地方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培养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普通话水平合格的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教师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提高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幼儿园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教师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普通话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应用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能力的要求，聚焦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普通话教育教学水平能力提升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，科学设计培训目标，优选培训课程内容，创新培训方式方法，确保培训的针对性和实效性。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培训课程内容要符合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民族地区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农村教师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教学语言需求，针对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幼儿园教师保教特点与能力提升需求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特点，突出特色与实效。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可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设置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幼儿园教师语言教育等课程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，提升教师进行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普通话保教保育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的能力，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促进幼儿园教师专业发展。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（三）做好培训期间疫情防控工作，因地制宜开展培训。培训实施单位应当积极对接项目县市，了解学员学习需求，同时合理安排培训时间和培训场地，尽量保障当地正常教学秩序不受影响。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三、培训监测评价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一）开展模拟测试。为保证培训效果，提升培训针对性，训前训后开展普通话水平模拟测试（由科大讯飞公司统一提供模拟测试平台和技术支持）。培训开始前对学员进行普通话水平摸底测试，了解学员初始水平，为培训实施提供参考。培训后测试主要看学习效果，便于总结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（二）持续跟踪监测学习效果。各培训实施单位要做好培训前、中、后期学员相关学习数据的收集整理，便于后期开展培训研究。培训实施单位需鼓励指导学员开展“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五个一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”活动，即在参训学员培训结束回到工作岗位后，在所在幼儿园组织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幼儿语言活动展示，录制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幼儿语言游戏课或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特色幼儿节目、组建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学习工坊、举办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“小手拉大手”（幼儿与家长）活动，切实将培训成果惠及到幼儿园及幼儿家庭，提供给更多的幼儿教师，实现项目示范引领和辐射作用。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56A2"/>
    <w:rsid w:val="243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2021-09-14T05:14:00Z</dcterms:created>
  <dc:creator>Administrator</dc:creator>
  <cp:lastModifiedBy>Administrator</cp:lastModifiedBy>
  <dcterms:modified xsi:type="dcterms:W3CDTF">2021-09-14T05:20:01Z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661853752CC84ED9B589C9DC4125373E</vt:lpwstr>
  </property>
</Properties>
</file>