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 w:cs="Times New Roman"/>
        </w:rPr>
      </w:pPr>
      <w:bookmarkStart w:id="0" w:name="_GoBack"/>
      <w:bookmarkEnd w:id="0"/>
      <w:r>
        <w:rPr>
          <w:rFonts w:eastAsia="黑体" w:cs="Times New Roman"/>
        </w:rPr>
        <w:t>附件3</w:t>
      </w:r>
    </w:p>
    <w:p>
      <w:pPr>
        <w:pStyle w:val="3"/>
        <w:spacing w:after="156" w:afterLines="50" w:line="480" w:lineRule="exact"/>
        <w:ind w:firstLine="0" w:firstLineChars="0"/>
        <w:jc w:val="center"/>
        <w:rPr>
          <w:rFonts w:eastAsia="黑体" w:cs="Times New Roman"/>
          <w:b w:val="0"/>
          <w:bCs/>
        </w:rPr>
      </w:pPr>
      <w:r>
        <w:rPr>
          <w:rFonts w:hint="eastAsia" w:eastAsia="黑体" w:cs="Times New Roman"/>
          <w:b w:val="0"/>
          <w:bCs/>
        </w:rPr>
        <w:t>内蒙古自治区赤峰市敖汉旗</w:t>
      </w:r>
      <w:r>
        <w:rPr>
          <w:rFonts w:eastAsia="黑体" w:cs="Times New Roman"/>
          <w:b w:val="0"/>
          <w:bCs/>
        </w:rPr>
        <w:t>政府推进义务教育均衡发展</w:t>
      </w:r>
      <w:r>
        <w:rPr>
          <w:rFonts w:hint="eastAsia" w:eastAsia="黑体" w:cs="Times New Roman"/>
          <w:b w:val="0"/>
          <w:bCs/>
        </w:rPr>
        <w:t xml:space="preserve">  </w:t>
      </w:r>
      <w:r>
        <w:rPr>
          <w:rFonts w:eastAsia="黑体" w:cs="Times New Roman"/>
          <w:b w:val="0"/>
          <w:bCs/>
        </w:rPr>
        <w:t>工作得分情况表</w:t>
      </w:r>
    </w:p>
    <w:tbl>
      <w:tblPr>
        <w:tblStyle w:val="4"/>
        <w:tblW w:w="0" w:type="auto"/>
        <w:tblInd w:w="-34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289"/>
        <w:gridCol w:w="586"/>
        <w:gridCol w:w="4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86" w:type="dxa"/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bCs/>
                <w:sz w:val="20"/>
                <w:szCs w:val="20"/>
              </w:rPr>
              <w:t>A1入学机会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bCs/>
                <w:sz w:val="20"/>
                <w:szCs w:val="20"/>
              </w:rPr>
              <w:t>（20分）</w:t>
            </w: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1.进城务工人员随迁子女就学纳入流入地教育发展规划。坚持以流入地政府管理为主、以全日制公办中小学为主，纳入流入地政府财政保障体系。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2.构建起以政府为主导，学校、家庭、社会各方面广泛参与的留守儿童关爱体系和动态监测机制。加快农村牧区寄宿制学校建设，满足留守儿童入学住宿需求。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3.三类残疾儿童少年义务教育入学率不低于80%。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4.实行小学升初中划片就近入学。优质普通高中招生名额按初中规模合理分配，其分配比例不低于60%。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bCs/>
                <w:sz w:val="20"/>
                <w:szCs w:val="20"/>
              </w:rPr>
              <w:t>A2保障机制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bCs/>
                <w:sz w:val="20"/>
                <w:szCs w:val="20"/>
              </w:rPr>
              <w:t>（25分）</w:t>
            </w: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1.建立了义务教育均衡发展责任制度、监督机制和问责机制。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2.义务教育经费在财政预算中单列，近三年义务教育经费做到</w:t>
            </w:r>
            <w:r>
              <w:rPr>
                <w:rFonts w:hint="eastAsia" w:eastAsia="宋体" w:cs="Times New Roman"/>
                <w:kern w:val="0"/>
                <w:sz w:val="20"/>
                <w:szCs w:val="20"/>
              </w:rPr>
              <w:t>“</w:t>
            </w:r>
            <w:r>
              <w:rPr>
                <w:rFonts w:eastAsia="宋体" w:cs="Times New Roman"/>
                <w:kern w:val="0"/>
                <w:sz w:val="20"/>
                <w:szCs w:val="20"/>
              </w:rPr>
              <w:t>三个增长</w:t>
            </w:r>
            <w:r>
              <w:rPr>
                <w:rFonts w:hint="eastAsia" w:eastAsia="宋体" w:cs="Times New Roman"/>
                <w:kern w:val="0"/>
                <w:sz w:val="20"/>
                <w:szCs w:val="20"/>
              </w:rPr>
              <w:t>”</w:t>
            </w:r>
            <w:r>
              <w:rPr>
                <w:rFonts w:eastAsia="宋体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3.制定了义务教育学校标准化建设实施方案，并按实施方案完成进度计划。制定并有效实施了薄弱学校改造计划，坚持财政性教育经费向薄弱学校倾斜。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4.农村税费改革转移支付资金主要用于教育。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5.教育费附加足额征收，及时足额用于教育。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6.在城市（镇）建设中合理规划义务教育学校布局，城市（镇）建设规划有学校建设规划，并按规划建设好学校。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7.在推进义务教育均衡发展过程中，对民族义务教育学校在项目上优先安排，在资金上予以倾斜。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bCs/>
                <w:sz w:val="20"/>
                <w:szCs w:val="20"/>
              </w:rPr>
              <w:t>A3教师队伍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bCs/>
                <w:sz w:val="20"/>
                <w:szCs w:val="20"/>
              </w:rPr>
              <w:t>（35分）</w:t>
            </w: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1.全面实施义务教育学校教职工绩效工资制度，并按时足额发放。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2.建立完善教师补充机制，新增教师优先满足农村牧区学校、城镇薄弱学校需求。按编制标准配齐合格的学科教师。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3.建立并有效实施了县域内义务教育学校校长和教师定期交流制度。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4.中小学教师培训经费按不低于教师工资总额的1</w:t>
            </w:r>
            <w:r>
              <w:rPr>
                <w:rFonts w:hint="eastAsia" w:eastAsia="宋体" w:cs="Times New Roman"/>
                <w:kern w:val="0"/>
                <w:sz w:val="20"/>
                <w:szCs w:val="20"/>
              </w:rPr>
              <w:t>—</w:t>
            </w:r>
            <w:r>
              <w:rPr>
                <w:rFonts w:eastAsia="宋体" w:cs="Times New Roman"/>
                <w:kern w:val="0"/>
                <w:sz w:val="20"/>
                <w:szCs w:val="20"/>
              </w:rPr>
              <w:t>2%纳入财政预算；教育费附加中提取不低于15%用于中小学教师继续教育；农村学校按照年度公用经费总额的5%用于教师培训。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5.建有农村牧区教师周转宿舍，解决交流教师、特岗教师、支教教师的居住问题。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bCs/>
                <w:sz w:val="20"/>
                <w:szCs w:val="20"/>
              </w:rPr>
              <w:t>A4质量与管理（20分）</w:t>
            </w: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1.按照《内蒙古自治区义务教育课程计划》，开齐开足国家课程，开好地方课程、校本课程。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2.九年义务教育巩固率达到93%。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3.小学、初中学生体质健康及格率均达到自治区规定的85%以上，保证每天开展1小时阳光体育活动。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bCs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4.义务教育阶段不存在重点校、重点班；公办义务教育学校择校现象得到基本遏制。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vMerge w:val="continue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72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.无利用节假日、双休日、课余时间组织学生集体补课现象。学生每天在校学习时间（包括自习）小学不超6小时，初中不超7小时。小学一、二年级不留课外作业，其他年级课外作业每天不超1小时，初中课外作业每天不超1.5小时。教育行政部门和学校建立了减轻中小学生过重课业负担管理制度、监测制度、举报制度和问责制度。中小学过重课业负担得到有效减轻。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27" w:type="dxa"/>
            <w:gridSpan w:val="2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总分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36"/>
    <w:rsid w:val="00CF3597"/>
    <w:rsid w:val="00D94E36"/>
    <w:rsid w:val="217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="Arial Unicode MS"/>
      <w:color w:val="000000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link w:val="6"/>
    <w:qFormat/>
    <w:uiPriority w:val="0"/>
    <w:pPr>
      <w:keepLines/>
      <w:outlineLvl w:val="1"/>
    </w:pPr>
    <w:rPr>
      <w:rFonts w:eastAsia="楷体_GB2312"/>
      <w:b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semiHidden/>
    <w:unhideWhenUsed/>
    <w:uiPriority w:val="99"/>
    <w:pPr>
      <w:spacing w:after="120" w:line="480" w:lineRule="auto"/>
      <w:ind w:left="420" w:leftChars="200"/>
    </w:pPr>
  </w:style>
  <w:style w:type="character" w:customStyle="1" w:styleId="6">
    <w:name w:val="标题 2 Char"/>
    <w:basedOn w:val="5"/>
    <w:link w:val="3"/>
    <w:qFormat/>
    <w:uiPriority w:val="0"/>
    <w:rPr>
      <w:rFonts w:ascii="Times New Roman" w:hAnsi="Times New Roman" w:eastAsia="楷体_GB2312" w:cs="Arial Unicode MS"/>
      <w:b/>
      <w:color w:val="000000"/>
      <w:sz w:val="32"/>
      <w:szCs w:val="44"/>
    </w:rPr>
  </w:style>
  <w:style w:type="character" w:customStyle="1" w:styleId="7">
    <w:name w:val="正文文本缩进 2 Char"/>
    <w:basedOn w:val="5"/>
    <w:link w:val="2"/>
    <w:semiHidden/>
    <w:uiPriority w:val="99"/>
    <w:rPr>
      <w:rFonts w:ascii="Times New Roman" w:hAnsi="Times New Roman" w:eastAsia="仿宋_GB2312" w:cs="Arial Unicode MS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1092</Characters>
  <Lines>9</Lines>
  <Paragraphs>2</Paragraphs>
  <TotalTime>0</TotalTime>
  <ScaleCrop>false</ScaleCrop>
  <LinksUpToDate>false</LinksUpToDate>
  <CharactersWithSpaces>1281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2021-10-19T08:43:00Z</dcterms:created>
  <dc:creator>User</dc:creator>
  <cp:lastModifiedBy>Administrator</cp:lastModifiedBy>
  <dcterms:modified xsi:type="dcterms:W3CDTF">2021-10-20T00:47:19Z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ECD46D5F539640869FFCC401620D6F38</vt:lpwstr>
  </property>
</Properties>
</file>