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2" w:afterLines="5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2021年科级干部“学党史、强党性、提素质，学习贯彻党的十九届六中全会精神”主题培训班</w:t>
      </w:r>
    </w:p>
    <w:p>
      <w:pPr>
        <w:spacing w:after="292" w:afterLines="50" w:line="52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网络培训课程表</w:t>
      </w:r>
    </w:p>
    <w:tbl>
      <w:tblPr>
        <w:tblStyle w:val="4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804"/>
        <w:gridCol w:w="887"/>
        <w:gridCol w:w="3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课程模块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课程名称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主讲人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习近平新时代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中国特色社会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主义思想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深入学习贯彻习近平总书记在“七一”庆祝中国共产党成立100周年大会上的重要讲话精神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刘  春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百年大党开创民族复兴辉煌未来的政治宣言——学习习近平总书记“七一”重要讲话精神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颜晓峰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天津大学马克思主义学院院长、教授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习近平总书记教育重要论述讲义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李文长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国家教育行政学院原副院长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深入学习贯彻全国教育大会精神，全面提高高校人才培养能力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林蕙青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教育部原副部长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中国特色社会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主义理想信念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与教育情怀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《共产党宣言》与共产党人的理想信念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王海滨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中共中央党校（国家行政学院）马克思主义学院副教授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新时代共产党人的历史使命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李海清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挺起共产党人的精神脊梁——学习习近平总书记关于坚定理想信念的重要论述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陈冬生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中共中央党校（国家行政学院）马克思主义理论教研部研究室主任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高校教师的师德情怀和教学能力提升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朱月龙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河北师范大学教授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教育廉洁与教育工作者的使命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任建明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北京航空航天大学公共管理学院教授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1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sz w:val="24"/>
                <w:lang w:bidi="ar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历次全精神和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十四五规划解读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百年大变局——国际经济格局变化和中国战略选择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赵福军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国务院发展研究中心对外经济研究部研究员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新时代中国的教育现代化发展趋势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高书国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中国教育学会副秘书长、研究员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1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建设现代化高等教育强国的宏观战略与规划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高等教育发展简史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王晓阳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首都师范大学教育学院高等教育研究所所长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加快教育现代化的战略思考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王  烽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教育部国家教育发展研究中心首席专家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大学卓越教学：内涵、结构与评价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陆根书</w:t>
            </w:r>
          </w:p>
        </w:tc>
        <w:tc>
          <w:tcPr>
            <w:tcW w:w="35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西安交通大学高等教育研究所所长</w:t>
            </w:r>
          </w:p>
        </w:tc>
      </w:tr>
    </w:tbl>
    <w:p>
      <w:pPr>
        <w:pStyle w:val="2"/>
        <w:spacing w:before="0" w:after="0" w:line="360" w:lineRule="exact"/>
        <w:rPr>
          <w:rFonts w:hint="eastAsia" w:eastAsia="仿宋_GB2312" w:cs="仿宋"/>
          <w:color w:val="000000"/>
          <w:sz w:val="24"/>
          <w:lang w:bidi="ar"/>
        </w:rPr>
      </w:pPr>
      <w:r>
        <w:rPr>
          <w:rFonts w:hint="eastAsia" w:eastAsia="仿宋_GB2312" w:cs="仿宋"/>
          <w:color w:val="000000"/>
          <w:sz w:val="24"/>
          <w:lang w:bidi="ar"/>
        </w:rPr>
        <w:br w:type="page"/>
      </w:r>
    </w:p>
    <w:tbl>
      <w:tblPr>
        <w:tblStyle w:val="4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3750"/>
        <w:gridCol w:w="901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课程模块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课程名称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主讲人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82" w:type="dxa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sz w:val="24"/>
                <w:lang w:bidi="ar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坚持立德树人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根本任务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深刻理解立德树人的根本任务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刘立德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中国教育学会学术委员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882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sz w:val="24"/>
                <w:lang w:bidi="ar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健全“三全”</w:t>
            </w:r>
          </w:p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sz w:val="24"/>
                <w:lang w:bidi="ar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育人体系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基于三全育人的“一站式”学生社区综合服务改革的实践与探索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周  远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西安交通大学学工部（处）长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sz w:val="24"/>
                <w:lang w:bidi="ar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三全育人视域下党团建一体化活动的设计与实施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赵东方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吉林师范大学学生处副处长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82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jc w:val="center"/>
              <w:outlineLvl w:val="0"/>
              <w:rPr>
                <w:rFonts w:hint="eastAsia" w:eastAsia="仿宋_GB2312" w:cs="仿宋"/>
                <w:color w:val="000000"/>
                <w:sz w:val="24"/>
                <w:lang w:bidi="ar"/>
              </w:rPr>
            </w:pPr>
            <w:r>
              <w:rPr>
                <w:rFonts w:hint="eastAsia" w:eastAsia="仿宋_GB2312" w:cs="仿宋"/>
                <w:color w:val="000000"/>
                <w:sz w:val="24"/>
                <w:lang w:bidi="ar"/>
              </w:rPr>
              <w:t>综合素养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上下级沟通礼仪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韩晓洁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中央广播电视大学特聘商务礼仪讲师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办公室工作礼仪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韩晓洁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中央广播电视大学特聘商务礼仪讲师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如何提高领导讲话稿和汇报材料写作综合技能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高小平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中国行政管理学会原执行副会长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党务工作公文写作方法、规律与技巧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岳海翔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中国公文写作研究会常务副会长兼秘书长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公文写作规范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付  传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黑龙江大学副教授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浅谈中层管理者执行力的重要性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杨令平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陕西学前师范学院教育培训学院院长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执行力提升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张国玉</w:t>
            </w:r>
          </w:p>
        </w:tc>
        <w:tc>
          <w:tcPr>
            <w:tcW w:w="357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中共中央党校（国家行政学院）教授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说明：1.个别课程或稍有调整，请以平台最终发布课程为准；</w:t>
      </w:r>
    </w:p>
    <w:p>
      <w:pPr>
        <w:widowControl/>
        <w:spacing w:line="300" w:lineRule="exact"/>
        <w:ind w:firstLine="663" w:firstLine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2.课程主讲人职务为课程录制时的职务。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1020" w:gutter="0"/>
      <w:cols w:space="720" w:num="1"/>
      <w:docGrid w:type="linesAndChars" w:linePitch="585" w:charSpace="-40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40CFB"/>
    <w:rsid w:val="55BA6872"/>
    <w:rsid w:val="6A80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Administrator</dc:creator>
  <cp:lastModifiedBy>一叶编舟</cp:lastModifiedBy>
  <dcterms:modified xsi:type="dcterms:W3CDTF">2021-11-24T01:14:30Z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5095AFD694BB42628E64D3E263D09A16</vt:lpwstr>
  </property>
</Properties>
</file>