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仿宋_GB2312" w:cs="仿宋_GB2312"/>
          <w:spacing w:val="-6"/>
          <w:sz w:val="30"/>
          <w:szCs w:val="30"/>
        </w:rPr>
      </w:pPr>
      <w:r>
        <w:rPr>
          <w:rFonts w:hint="eastAsia" w:eastAsia="黑体" w:cs="方正小标宋简体"/>
          <w:sz w:val="36"/>
          <w:szCs w:val="36"/>
        </w:rPr>
        <w:t>附件</w:t>
      </w:r>
    </w:p>
    <w:p>
      <w:pPr>
        <w:jc w:val="center"/>
        <w:rPr>
          <w:rFonts w:eastAsia="方正小标宋简体" w:cs="方正小标宋简体"/>
          <w:spacing w:val="-6"/>
          <w:sz w:val="36"/>
          <w:szCs w:val="36"/>
        </w:rPr>
      </w:pPr>
      <w:r>
        <w:rPr>
          <w:rFonts w:hint="eastAsia" w:eastAsia="方正小标宋简体" w:cs="方正小标宋简体"/>
          <w:spacing w:val="-6"/>
          <w:sz w:val="36"/>
          <w:szCs w:val="36"/>
        </w:rPr>
        <w:t>2021年湖南师范大学处级干部治理能力提升</w:t>
      </w:r>
    </w:p>
    <w:p>
      <w:pPr>
        <w:jc w:val="center"/>
        <w:rPr>
          <w:rFonts w:eastAsia="方正小标宋简体" w:cs="方正小标宋简体"/>
          <w:sz w:val="36"/>
          <w:szCs w:val="36"/>
        </w:rPr>
      </w:pPr>
      <w:r>
        <w:rPr>
          <w:rFonts w:hint="eastAsia" w:eastAsia="方正小标宋简体" w:cs="方正小标宋简体"/>
          <w:spacing w:val="-6"/>
          <w:sz w:val="36"/>
          <w:szCs w:val="36"/>
        </w:rPr>
        <w:t>专题培训课程列表</w:t>
      </w:r>
    </w:p>
    <w:p/>
    <w:tbl>
      <w:tblPr>
        <w:tblStyle w:val="4"/>
        <w:tblW w:w="5543" w:type="pct"/>
        <w:jc w:val="center"/>
        <w:tblLayout w:type="fixed"/>
        <w:tblCellMar>
          <w:top w:w="0" w:type="dxa"/>
          <w:left w:w="0" w:type="dxa"/>
          <w:bottom w:w="0" w:type="dxa"/>
          <w:right w:w="0" w:type="dxa"/>
        </w:tblCellMar>
      </w:tblPr>
      <w:tblGrid>
        <w:gridCol w:w="791"/>
        <w:gridCol w:w="4490"/>
        <w:gridCol w:w="1060"/>
        <w:gridCol w:w="3120"/>
      </w:tblGrid>
      <w:tr>
        <w:tblPrEx>
          <w:tblCellMar>
            <w:top w:w="0" w:type="dxa"/>
            <w:left w:w="0" w:type="dxa"/>
            <w:bottom w:w="0" w:type="dxa"/>
            <w:right w:w="0" w:type="dxa"/>
          </w:tblCellMar>
        </w:tblPrEx>
        <w:trPr>
          <w:trHeight w:val="731" w:hRule="atLeast"/>
          <w:tblHeader/>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
                <w:kern w:val="0"/>
                <w:sz w:val="24"/>
              </w:rPr>
            </w:pPr>
            <w:r>
              <w:rPr>
                <w:rFonts w:hint="eastAsia" w:eastAsia="仿宋_GB2312" w:cs="仿宋"/>
                <w:b/>
                <w:kern w:val="0"/>
                <w:sz w:val="24"/>
              </w:rPr>
              <w:t>课程</w:t>
            </w:r>
          </w:p>
          <w:p>
            <w:pPr>
              <w:widowControl/>
              <w:ind w:left="63" w:leftChars="30" w:right="63" w:rightChars="30"/>
              <w:jc w:val="center"/>
              <w:textAlignment w:val="center"/>
              <w:rPr>
                <w:rFonts w:eastAsia="仿宋_GB2312" w:cs="仿宋"/>
                <w:b/>
                <w:sz w:val="24"/>
              </w:rPr>
            </w:pPr>
            <w:r>
              <w:rPr>
                <w:rFonts w:hint="eastAsia" w:eastAsia="仿宋_GB2312" w:cs="仿宋"/>
                <w:b/>
                <w:kern w:val="0"/>
                <w:sz w:val="24"/>
              </w:rPr>
              <w:t>序号</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_GB2312" w:cs="仿宋"/>
                <w:b/>
                <w:sz w:val="24"/>
              </w:rPr>
            </w:pPr>
            <w:r>
              <w:rPr>
                <w:rFonts w:hint="eastAsia" w:eastAsia="仿宋_GB2312" w:cs="仿宋"/>
                <w:b/>
                <w:kern w:val="0"/>
                <w:sz w:val="24"/>
              </w:rPr>
              <w:t>课程名称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_GB2312" w:cs="仿宋"/>
                <w:b/>
                <w:sz w:val="24"/>
              </w:rPr>
            </w:pPr>
            <w:r>
              <w:rPr>
                <w:rFonts w:hint="eastAsia" w:eastAsia="仿宋_GB2312" w:cs="仿宋"/>
                <w:b/>
                <w:kern w:val="0"/>
                <w:sz w:val="24"/>
              </w:rPr>
              <w:t>主讲人</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
                <w:sz w:val="24"/>
              </w:rPr>
            </w:pPr>
            <w:r>
              <w:rPr>
                <w:rFonts w:hint="eastAsia" w:eastAsia="仿宋_GB2312" w:cs="仿宋"/>
                <w:b/>
                <w:kern w:val="0"/>
                <w:sz w:val="24"/>
              </w:rPr>
              <w:t>单位职务</w:t>
            </w:r>
          </w:p>
        </w:tc>
      </w:tr>
      <w:tr>
        <w:tblPrEx>
          <w:tblCellMar>
            <w:top w:w="0" w:type="dxa"/>
            <w:left w:w="0" w:type="dxa"/>
            <w:bottom w:w="0" w:type="dxa"/>
            <w:right w:w="0" w:type="dxa"/>
          </w:tblCellMar>
        </w:tblPrEx>
        <w:trPr>
          <w:trHeight w:val="958"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abs>
                <w:tab w:val="left" w:pos="414"/>
              </w:tabs>
              <w:ind w:left="63" w:leftChars="30" w:right="63" w:rightChars="30"/>
              <w:jc w:val="center"/>
              <w:textAlignment w:val="center"/>
              <w:rPr>
                <w:rFonts w:eastAsia="仿宋_GB2312" w:cs="仿宋"/>
                <w:bCs/>
                <w:kern w:val="0"/>
                <w:sz w:val="24"/>
              </w:rPr>
            </w:pPr>
            <w:r>
              <w:rPr>
                <w:rFonts w:hint="eastAsia" w:eastAsia="仿宋_GB2312" w:cs="仿宋"/>
                <w:bCs/>
                <w:kern w:val="0"/>
                <w:sz w:val="24"/>
              </w:rPr>
              <w:t>1</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color w:val="000000"/>
                <w:kern w:val="0"/>
                <w:sz w:val="24"/>
              </w:rPr>
            </w:pPr>
            <w:r>
              <w:rPr>
                <w:rFonts w:hint="eastAsia" w:eastAsia="仿宋" w:cs="仿宋"/>
                <w:color w:val="000000"/>
                <w:kern w:val="0"/>
                <w:sz w:val="24"/>
              </w:rPr>
              <w:t>深入学习贯彻习近平总书记在“七一”庆祝中国共产党成立100周年大会上的重要讲话精神</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 w:cs="仿宋"/>
                <w:color w:val="000000"/>
                <w:kern w:val="0"/>
                <w:sz w:val="24"/>
              </w:rPr>
            </w:pPr>
            <w:r>
              <w:rPr>
                <w:rFonts w:hint="eastAsia" w:eastAsia="仿宋" w:cs="仿宋"/>
                <w:color w:val="000000"/>
                <w:kern w:val="0"/>
                <w:sz w:val="24"/>
              </w:rPr>
              <w:t>刘  春</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color w:val="000000"/>
                <w:kern w:val="0"/>
                <w:sz w:val="24"/>
              </w:rPr>
            </w:pPr>
            <w:r>
              <w:rPr>
                <w:rFonts w:hint="eastAsia" w:eastAsia="仿宋" w:cs="仿宋"/>
                <w:color w:val="000000"/>
                <w:kern w:val="0"/>
                <w:sz w:val="24"/>
              </w:rPr>
              <w:t>中共中央党校（国家行政学院）教授</w:t>
            </w:r>
          </w:p>
        </w:tc>
      </w:tr>
      <w:tr>
        <w:tblPrEx>
          <w:tblCellMar>
            <w:top w:w="0" w:type="dxa"/>
            <w:left w:w="0" w:type="dxa"/>
            <w:bottom w:w="0" w:type="dxa"/>
            <w:right w:w="0" w:type="dxa"/>
          </w:tblCellMar>
        </w:tblPrEx>
        <w:trPr>
          <w:trHeight w:val="96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kern w:val="0"/>
                <w:sz w:val="24"/>
              </w:rPr>
            </w:pPr>
            <w:r>
              <w:rPr>
                <w:rFonts w:hint="eastAsia" w:eastAsia="仿宋_GB2312" w:cs="仿宋"/>
                <w:bCs/>
                <w:kern w:val="0"/>
                <w:sz w:val="24"/>
              </w:rPr>
              <w:t>2</w:t>
            </w:r>
          </w:p>
        </w:tc>
        <w:tc>
          <w:tcPr>
            <w:tcW w:w="237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color w:val="000000"/>
                <w:kern w:val="0"/>
                <w:sz w:val="24"/>
              </w:rPr>
            </w:pPr>
            <w:r>
              <w:rPr>
                <w:rFonts w:hint="eastAsia" w:eastAsia="仿宋" w:cs="仿宋"/>
                <w:color w:val="000000"/>
                <w:kern w:val="0"/>
                <w:sz w:val="24"/>
              </w:rPr>
              <w:t>中国共产党的精神之源——坚持真理、坚守理想，践行初心、担当使命，不怕牺牲、英勇斗争，对党忠诚、不负人民的伟大建党精神</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 w:cs="仿宋"/>
                <w:color w:val="000000"/>
                <w:kern w:val="0"/>
                <w:sz w:val="24"/>
              </w:rPr>
            </w:pPr>
            <w:r>
              <w:rPr>
                <w:rFonts w:hint="eastAsia" w:eastAsia="仿宋" w:cs="仿宋"/>
                <w:color w:val="000000"/>
                <w:kern w:val="0"/>
                <w:sz w:val="24"/>
              </w:rPr>
              <w:t>胡  敏</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color w:val="000000"/>
                <w:kern w:val="0"/>
                <w:sz w:val="24"/>
              </w:rPr>
            </w:pPr>
            <w:r>
              <w:rPr>
                <w:rFonts w:hint="eastAsia" w:eastAsia="仿宋" w:cs="仿宋"/>
                <w:color w:val="000000"/>
                <w:kern w:val="0"/>
                <w:sz w:val="24"/>
              </w:rPr>
              <w:t>中央党校（国家行政学院）《学习时报社》副社长/研究员</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3</w:t>
            </w:r>
          </w:p>
        </w:tc>
        <w:tc>
          <w:tcPr>
            <w:tcW w:w="237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 w:cs="仿宋"/>
                <w:sz w:val="24"/>
              </w:rPr>
            </w:pPr>
            <w:r>
              <w:rPr>
                <w:rFonts w:hint="eastAsia" w:eastAsia="仿宋" w:cs="仿宋"/>
                <w:color w:val="000000"/>
                <w:kern w:val="0"/>
                <w:sz w:val="24"/>
              </w:rPr>
              <w:t>深入学习领会习近平总书记关于教育的重要论述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 w:cs="仿宋"/>
                <w:sz w:val="24"/>
              </w:rPr>
            </w:pPr>
            <w:r>
              <w:rPr>
                <w:rFonts w:hint="eastAsia" w:eastAsia="仿宋" w:cs="仿宋"/>
                <w:color w:val="000000"/>
                <w:kern w:val="0"/>
                <w:sz w:val="24"/>
              </w:rPr>
              <w:t>邓传淮</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sz w:val="24"/>
              </w:rPr>
            </w:pPr>
            <w:r>
              <w:rPr>
                <w:rFonts w:hint="eastAsia" w:eastAsia="仿宋" w:cs="仿宋"/>
                <w:color w:val="000000"/>
                <w:kern w:val="0"/>
                <w:sz w:val="24"/>
              </w:rPr>
              <w:t>教育部政策法规司司长</w:t>
            </w:r>
          </w:p>
        </w:tc>
      </w:tr>
      <w:tr>
        <w:tblPrEx>
          <w:tblCellMar>
            <w:top w:w="0" w:type="dxa"/>
            <w:left w:w="0" w:type="dxa"/>
            <w:bottom w:w="0" w:type="dxa"/>
            <w:right w:w="0" w:type="dxa"/>
          </w:tblCellMar>
        </w:tblPrEx>
        <w:trPr>
          <w:trHeight w:val="870"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sz w:val="24"/>
              </w:rPr>
            </w:pPr>
            <w:r>
              <w:rPr>
                <w:rFonts w:hint="eastAsia" w:eastAsia="仿宋_GB2312" w:cs="仿宋"/>
                <w:bCs/>
                <w:sz w:val="24"/>
              </w:rPr>
              <w:t>4</w:t>
            </w:r>
          </w:p>
        </w:tc>
        <w:tc>
          <w:tcPr>
            <w:tcW w:w="23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left"/>
              <w:textAlignment w:val="center"/>
              <w:rPr>
                <w:rFonts w:eastAsia="仿宋" w:cs="仿宋"/>
                <w:sz w:val="24"/>
              </w:rPr>
            </w:pPr>
            <w:r>
              <w:rPr>
                <w:rFonts w:hint="eastAsia" w:eastAsia="仿宋" w:cs="仿宋"/>
                <w:color w:val="000000"/>
                <w:kern w:val="0"/>
                <w:sz w:val="24"/>
              </w:rPr>
              <w:t>认真学习贯彻党的十九届六中全会精神在新时代新征程上继续奋斗前进</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 w:cs="仿宋"/>
                <w:sz w:val="24"/>
              </w:rPr>
            </w:pPr>
            <w:r>
              <w:rPr>
                <w:rFonts w:hint="eastAsia" w:eastAsia="仿宋" w:cs="仿宋"/>
                <w:color w:val="000000"/>
                <w:kern w:val="0"/>
                <w:sz w:val="24"/>
              </w:rPr>
              <w:t>郭海燕</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left"/>
              <w:textAlignment w:val="center"/>
              <w:rPr>
                <w:rFonts w:eastAsia="仿宋" w:cs="仿宋"/>
                <w:sz w:val="24"/>
              </w:rPr>
            </w:pPr>
          </w:p>
        </w:tc>
      </w:tr>
      <w:tr>
        <w:tblPrEx>
          <w:tblCellMar>
            <w:top w:w="0" w:type="dxa"/>
            <w:left w:w="0" w:type="dxa"/>
            <w:bottom w:w="0" w:type="dxa"/>
            <w:right w:w="0" w:type="dxa"/>
          </w:tblCellMar>
        </w:tblPrEx>
        <w:trPr>
          <w:trHeight w:val="59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5</w:t>
            </w:r>
          </w:p>
        </w:tc>
        <w:tc>
          <w:tcPr>
            <w:tcW w:w="237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sz w:val="24"/>
              </w:rPr>
            </w:pPr>
            <w:r>
              <w:rPr>
                <w:rFonts w:hint="eastAsia" w:eastAsia="仿宋" w:cs="仿宋"/>
                <w:color w:val="000000"/>
                <w:kern w:val="0"/>
                <w:sz w:val="24"/>
              </w:rPr>
              <w:t>十九届六中全会历史决议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 w:cs="仿宋"/>
                <w:sz w:val="24"/>
              </w:rPr>
            </w:pPr>
            <w:r>
              <w:rPr>
                <w:rFonts w:hint="eastAsia" w:eastAsia="仿宋" w:cs="仿宋"/>
                <w:color w:val="000000"/>
                <w:kern w:val="0"/>
                <w:sz w:val="24"/>
              </w:rPr>
              <w:t>路克利</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 w:cs="仿宋"/>
                <w:sz w:val="24"/>
              </w:rPr>
            </w:pP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6</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《共产党宣言》与共产党人的理想信念</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王海滨</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中共中央党校（国家行政学院）副教授</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7</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强化政治监督保障制度执行，增强“两个维护”的政治自觉</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任  进</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中共中央党校（国家行政学院）教授</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8</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fldChar w:fldCharType="begin"/>
            </w:r>
            <w:r>
              <w:instrText xml:space="preserve"> HYPERLINK "https://study.enaea.edu.cn/kecheng/detail_291871" \o "学习贯彻《中国共产党普通高等学校基层组织工作条例》辅导报告" </w:instrText>
            </w:r>
            <w:r>
              <w:fldChar w:fldCharType="separate"/>
            </w:r>
            <w:r>
              <w:rPr>
                <w:rStyle w:val="6"/>
                <w:rFonts w:hint="eastAsia" w:eastAsia="仿宋_GB2312" w:cs="仿宋"/>
                <w:color w:val="auto"/>
                <w:sz w:val="24"/>
                <w:u w:val="none"/>
              </w:rPr>
              <w:t>学习贯彻《中国共产党普通高等学校基层组织工作条例》辅导报告</w:t>
            </w:r>
            <w:r>
              <w:rPr>
                <w:rStyle w:val="6"/>
                <w:rFonts w:hint="eastAsia" w:eastAsia="仿宋_GB2312" w:cs="仿宋"/>
                <w:color w:val="auto"/>
                <w:sz w:val="24"/>
                <w:u w:val="none"/>
              </w:rPr>
              <w:fldChar w:fldCharType="end"/>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魏士强</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教育部思想政治工作司司长</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9</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全面推进党的建设伟大工程，提升基层党组织组织力</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黄百炼</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国家教育行政学院原党委书记</w:t>
            </w:r>
          </w:p>
        </w:tc>
      </w:tr>
      <w:tr>
        <w:tblPrEx>
          <w:tblCellMar>
            <w:top w:w="0" w:type="dxa"/>
            <w:left w:w="0" w:type="dxa"/>
            <w:bottom w:w="0" w:type="dxa"/>
            <w:right w:w="0" w:type="dxa"/>
          </w:tblCellMar>
        </w:tblPrEx>
        <w:trPr>
          <w:trHeight w:val="825"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10</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管党治党一刻不能松——深入学习习近平关于党风廉政建设和反腐败斗争论述</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杨小军</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中共中央党校（国家行政学院）政治和法律教研副主任</w:t>
            </w:r>
          </w:p>
        </w:tc>
      </w:tr>
      <w:tr>
        <w:tblPrEx>
          <w:tblCellMar>
            <w:top w:w="0" w:type="dxa"/>
            <w:left w:w="0" w:type="dxa"/>
            <w:bottom w:w="0" w:type="dxa"/>
            <w:right w:w="0" w:type="dxa"/>
          </w:tblCellMar>
        </w:tblPrEx>
        <w:trPr>
          <w:trHeight w:val="825"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11</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kern w:val="0"/>
                <w:sz w:val="24"/>
              </w:rPr>
            </w:pPr>
            <w:r>
              <w:rPr>
                <w:rFonts w:hint="eastAsia" w:eastAsia="仿宋_GB2312" w:cs="仿宋"/>
                <w:kern w:val="0"/>
                <w:sz w:val="24"/>
              </w:rPr>
              <w:t>中华官德与新时代领导干部党性修养</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kern w:val="0"/>
                <w:sz w:val="24"/>
              </w:rPr>
            </w:pPr>
            <w:r>
              <w:rPr>
                <w:rFonts w:hint="eastAsia" w:eastAsia="仿宋_GB2312" w:cs="仿宋"/>
                <w:kern w:val="0"/>
                <w:sz w:val="24"/>
              </w:rPr>
              <w:t>宇文利</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kern w:val="0"/>
                <w:sz w:val="24"/>
              </w:rPr>
            </w:pPr>
            <w:r>
              <w:rPr>
                <w:rFonts w:hint="eastAsia" w:eastAsia="仿宋_GB2312" w:cs="仿宋"/>
                <w:kern w:val="0"/>
                <w:sz w:val="24"/>
              </w:rPr>
              <w:t>北京大学马克思主义学院副院长、教授</w:t>
            </w:r>
          </w:p>
        </w:tc>
      </w:tr>
      <w:tr>
        <w:tblPrEx>
          <w:tblCellMar>
            <w:top w:w="0" w:type="dxa"/>
            <w:left w:w="0" w:type="dxa"/>
            <w:bottom w:w="0" w:type="dxa"/>
            <w:right w:w="0" w:type="dxa"/>
          </w:tblCellMar>
        </w:tblPrEx>
        <w:trPr>
          <w:trHeight w:val="1095"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sz w:val="24"/>
              </w:rPr>
            </w:pPr>
            <w:r>
              <w:rPr>
                <w:rFonts w:hint="eastAsia" w:eastAsia="仿宋_GB2312" w:cs="仿宋"/>
                <w:bCs/>
                <w:sz w:val="24"/>
              </w:rPr>
              <w:t>12</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 xml:space="preserve"> 新时代教育干部要过好“五个关” 把好“六条线”——陈宝生部长在国家教育行政学院2019年春季开学典礼上的讲话</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陈宝生</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color w:val="000000"/>
                <w:kern w:val="0"/>
                <w:sz w:val="24"/>
              </w:rPr>
              <w:t>教育部原部长</w:t>
            </w:r>
          </w:p>
        </w:tc>
      </w:tr>
      <w:tr>
        <w:tblPrEx>
          <w:tblCellMar>
            <w:top w:w="0" w:type="dxa"/>
            <w:left w:w="0" w:type="dxa"/>
            <w:bottom w:w="0" w:type="dxa"/>
            <w:right w:w="0" w:type="dxa"/>
          </w:tblCellMar>
        </w:tblPrEx>
        <w:trPr>
          <w:trHeight w:val="947"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13</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中国教育综合改革的重大问题与政策选择——《深化新时代教育评价改革的总体方案》解读</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刘自成</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教育部综合改革司司长</w:t>
            </w:r>
          </w:p>
        </w:tc>
      </w:tr>
      <w:tr>
        <w:tblPrEx>
          <w:tblCellMar>
            <w:top w:w="0" w:type="dxa"/>
            <w:left w:w="0" w:type="dxa"/>
            <w:bottom w:w="0" w:type="dxa"/>
            <w:right w:w="0" w:type="dxa"/>
          </w:tblCellMar>
        </w:tblPrEx>
        <w:trPr>
          <w:trHeight w:val="834"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14</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人才培养为本 本科教育是根——学习贯彻全国教育大会精神体会</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吴  岩</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教育部高等教育司司长</w:t>
            </w:r>
          </w:p>
        </w:tc>
      </w:tr>
      <w:tr>
        <w:tblPrEx>
          <w:tblCellMar>
            <w:top w:w="0" w:type="dxa"/>
            <w:left w:w="0" w:type="dxa"/>
            <w:bottom w:w="0" w:type="dxa"/>
            <w:right w:w="0" w:type="dxa"/>
          </w:tblCellMar>
        </w:tblPrEx>
        <w:trPr>
          <w:trHeight w:val="90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15</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关于高校党委领导下的校长负责制的几点思考——兼谈大学治理和现代大学制度建设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李延保</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中山大学原党委书记</w:t>
            </w:r>
          </w:p>
        </w:tc>
      </w:tr>
      <w:tr>
        <w:tblPrEx>
          <w:tblCellMar>
            <w:top w:w="0" w:type="dxa"/>
            <w:left w:w="0" w:type="dxa"/>
            <w:bottom w:w="0" w:type="dxa"/>
            <w:right w:w="0" w:type="dxa"/>
          </w:tblCellMar>
        </w:tblPrEx>
        <w:trPr>
          <w:trHeight w:val="64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16</w:t>
            </w:r>
          </w:p>
        </w:tc>
        <w:tc>
          <w:tcPr>
            <w:tcW w:w="237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以法治思维推进学校教育治理现代化</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王敬波</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对外经济贸易大学党委常委、副校长</w:t>
            </w:r>
          </w:p>
        </w:tc>
      </w:tr>
      <w:tr>
        <w:tblPrEx>
          <w:tblCellMar>
            <w:top w:w="0" w:type="dxa"/>
            <w:left w:w="0" w:type="dxa"/>
            <w:bottom w:w="0" w:type="dxa"/>
            <w:right w:w="0" w:type="dxa"/>
          </w:tblCellMar>
        </w:tblPrEx>
        <w:trPr>
          <w:trHeight w:val="774"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17</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校-院治理体系改革的实践走势与未来方向</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赵宏强</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国家教育行政学院教育制度创新研究中心主任</w:t>
            </w:r>
          </w:p>
        </w:tc>
      </w:tr>
      <w:tr>
        <w:tblPrEx>
          <w:tblCellMar>
            <w:top w:w="0" w:type="dxa"/>
            <w:left w:w="0" w:type="dxa"/>
            <w:bottom w:w="0" w:type="dxa"/>
            <w:right w:w="0" w:type="dxa"/>
          </w:tblCellMar>
        </w:tblPrEx>
        <w:trPr>
          <w:trHeight w:val="746"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sz w:val="24"/>
              </w:rPr>
            </w:pPr>
            <w:r>
              <w:rPr>
                <w:rFonts w:hint="eastAsia" w:eastAsia="仿宋_GB2312" w:cs="仿宋"/>
                <w:bCs/>
                <w:sz w:val="24"/>
              </w:rPr>
              <w:t>18</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世界高等教育改革发展趋势与借鉴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周满生</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教育部教育发展研究中心专家咨询委员会副主任委员</w:t>
            </w:r>
          </w:p>
        </w:tc>
      </w:tr>
      <w:tr>
        <w:tblPrEx>
          <w:tblCellMar>
            <w:top w:w="0" w:type="dxa"/>
            <w:left w:w="0" w:type="dxa"/>
            <w:bottom w:w="0" w:type="dxa"/>
            <w:right w:w="0" w:type="dxa"/>
          </w:tblCellMar>
        </w:tblPrEx>
        <w:trPr>
          <w:trHeight w:val="823"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19</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逆全球化影响下的“十四五”高等教育改革</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马陆亭</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教育部教育发展研究中心高教室主任</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20</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积极探索全球化时代的高等教育创新</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俞立中</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上海纽约大学校长</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21</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国际视野下的中国道路</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张维为</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复旦大学中国研究院院长</w:t>
            </w:r>
          </w:p>
        </w:tc>
      </w:tr>
      <w:tr>
        <w:tblPrEx>
          <w:tblCellMar>
            <w:top w:w="0" w:type="dxa"/>
            <w:left w:w="0" w:type="dxa"/>
            <w:bottom w:w="0" w:type="dxa"/>
            <w:right w:w="0" w:type="dxa"/>
          </w:tblCellMar>
        </w:tblPrEx>
        <w:trPr>
          <w:trHeight w:val="800"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22</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聚焦课程思政 落实立德树人</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李新萍</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教育部高等学校思想理论课教学指导委员会委员</w:t>
            </w:r>
          </w:p>
        </w:tc>
      </w:tr>
      <w:tr>
        <w:tblPrEx>
          <w:tblCellMar>
            <w:top w:w="0" w:type="dxa"/>
            <w:left w:w="0" w:type="dxa"/>
            <w:bottom w:w="0" w:type="dxa"/>
            <w:right w:w="0" w:type="dxa"/>
          </w:tblCellMar>
        </w:tblPrEx>
        <w:trPr>
          <w:trHeight w:val="570"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sz w:val="24"/>
              </w:rPr>
            </w:pPr>
            <w:r>
              <w:rPr>
                <w:rFonts w:hint="eastAsia" w:eastAsia="仿宋_GB2312" w:cs="仿宋"/>
                <w:bCs/>
                <w:sz w:val="24"/>
              </w:rPr>
              <w:t>23</w:t>
            </w:r>
          </w:p>
        </w:tc>
        <w:tc>
          <w:tcPr>
            <w:tcW w:w="237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世界一流大学视野下的“双一流”建设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朱庆葆</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江南大学党委书记</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24</w:t>
            </w:r>
          </w:p>
        </w:tc>
        <w:tc>
          <w:tcPr>
            <w:tcW w:w="237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 w:cs="仿宋"/>
                <w:sz w:val="24"/>
              </w:rPr>
            </w:pPr>
            <w:r>
              <w:rPr>
                <w:rFonts w:hint="eastAsia" w:eastAsia="仿宋" w:cs="仿宋"/>
                <w:color w:val="000000"/>
                <w:kern w:val="0"/>
                <w:sz w:val="24"/>
              </w:rPr>
              <w:t>一流党建一流学科建设双促双进</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 w:cs="仿宋"/>
                <w:sz w:val="24"/>
              </w:rPr>
            </w:pPr>
            <w:r>
              <w:rPr>
                <w:rFonts w:hint="eastAsia" w:eastAsia="仿宋" w:cs="仿宋"/>
                <w:color w:val="000000"/>
                <w:kern w:val="0"/>
                <w:sz w:val="24"/>
              </w:rPr>
              <w:t>赵放辉</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 w:cs="仿宋"/>
                <w:sz w:val="24"/>
              </w:rPr>
            </w:pPr>
            <w:r>
              <w:rPr>
                <w:rFonts w:hint="eastAsia" w:eastAsia="仿宋" w:cs="仿宋"/>
                <w:color w:val="000000"/>
                <w:kern w:val="0"/>
                <w:sz w:val="24"/>
              </w:rPr>
              <w:t>中国石油大学（华东）石油工程学院党委书记</w:t>
            </w:r>
          </w:p>
        </w:tc>
      </w:tr>
      <w:tr>
        <w:tblPrEx>
          <w:tblCellMar>
            <w:top w:w="0" w:type="dxa"/>
            <w:left w:w="0" w:type="dxa"/>
            <w:bottom w:w="0" w:type="dxa"/>
            <w:right w:w="0" w:type="dxa"/>
          </w:tblCellMar>
        </w:tblPrEx>
        <w:trPr>
          <w:trHeight w:val="723"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25</w:t>
            </w:r>
          </w:p>
        </w:tc>
        <w:tc>
          <w:tcPr>
            <w:tcW w:w="237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世界一流大学学科发展的路径和经验</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洪成文</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北京师范大学高等教育研究所常务副所长</w:t>
            </w:r>
          </w:p>
        </w:tc>
      </w:tr>
      <w:tr>
        <w:tblPrEx>
          <w:tblCellMar>
            <w:top w:w="0" w:type="dxa"/>
            <w:left w:w="0" w:type="dxa"/>
            <w:bottom w:w="0" w:type="dxa"/>
            <w:right w:w="0" w:type="dxa"/>
          </w:tblCellMar>
        </w:tblPrEx>
        <w:trPr>
          <w:trHeight w:val="640"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sz w:val="24"/>
              </w:rPr>
            </w:pPr>
            <w:r>
              <w:rPr>
                <w:rFonts w:hint="eastAsia" w:eastAsia="仿宋_GB2312" w:cs="仿宋"/>
                <w:bCs/>
                <w:sz w:val="24"/>
              </w:rPr>
              <w:t>26</w:t>
            </w:r>
          </w:p>
        </w:tc>
        <w:tc>
          <w:tcPr>
            <w:tcW w:w="237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全面实施预算绩效管理，提高财政资源配置效率</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张  鹏</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中国财政科学研究院研究员</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27</w:t>
            </w:r>
          </w:p>
        </w:tc>
        <w:tc>
          <w:tcPr>
            <w:tcW w:w="237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用信息化带动教育现代化</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杨宗凯</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西安电子科技大学校长</w:t>
            </w:r>
          </w:p>
        </w:tc>
      </w:tr>
      <w:tr>
        <w:tblPrEx>
          <w:tblCellMar>
            <w:top w:w="0" w:type="dxa"/>
            <w:left w:w="0" w:type="dxa"/>
            <w:bottom w:w="0" w:type="dxa"/>
            <w:right w:w="0" w:type="dxa"/>
          </w:tblCellMar>
        </w:tblPrEx>
        <w:trPr>
          <w:trHeight w:val="780" w:hRule="atLeast"/>
          <w:jc w:val="center"/>
        </w:trPr>
        <w:tc>
          <w:tcPr>
            <w:tcW w:w="41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bCs/>
                <w:sz w:val="24"/>
              </w:rPr>
            </w:pPr>
            <w:r>
              <w:rPr>
                <w:rFonts w:hint="eastAsia" w:eastAsia="仿宋_GB2312" w:cs="仿宋"/>
                <w:bCs/>
                <w:sz w:val="24"/>
              </w:rPr>
              <w:t>28</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突发事件应对策略与方法</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游志斌</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中共中央党校（国家行政学院）教授</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29</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颠覆性技术创新与领导力</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李纪珍</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清华大学经济管理学院教授</w:t>
            </w:r>
          </w:p>
        </w:tc>
      </w:tr>
      <w:tr>
        <w:tblPrEx>
          <w:tblCellMar>
            <w:top w:w="0" w:type="dxa"/>
            <w:left w:w="0" w:type="dxa"/>
            <w:bottom w:w="0" w:type="dxa"/>
            <w:right w:w="0" w:type="dxa"/>
          </w:tblCellMar>
        </w:tblPrEx>
        <w:trPr>
          <w:trHeight w:val="640" w:hRule="atLeast"/>
          <w:jc w:val="center"/>
        </w:trPr>
        <w:tc>
          <w:tcPr>
            <w:tcW w:w="41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rPr>
                <w:rFonts w:eastAsia="仿宋_GB2312" w:cs="仿宋"/>
                <w:bCs/>
                <w:sz w:val="24"/>
              </w:rPr>
            </w:pPr>
            <w:r>
              <w:rPr>
                <w:rFonts w:hint="eastAsia" w:eastAsia="仿宋_GB2312" w:cs="仿宋"/>
                <w:bCs/>
                <w:sz w:val="24"/>
              </w:rPr>
              <w:t>30</w:t>
            </w:r>
          </w:p>
        </w:tc>
        <w:tc>
          <w:tcPr>
            <w:tcW w:w="2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left"/>
              <w:textAlignment w:val="center"/>
              <w:rPr>
                <w:rFonts w:eastAsia="仿宋_GB2312" w:cs="仿宋"/>
                <w:sz w:val="24"/>
              </w:rPr>
            </w:pPr>
            <w:r>
              <w:rPr>
                <w:rFonts w:hint="eastAsia" w:eastAsia="仿宋_GB2312" w:cs="仿宋"/>
                <w:kern w:val="0"/>
                <w:sz w:val="24"/>
              </w:rPr>
              <w:t>学校中层干部的沟通与领导力</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jc w:val="center"/>
              <w:textAlignment w:val="center"/>
              <w:rPr>
                <w:rFonts w:eastAsia="仿宋_GB2312" w:cs="仿宋"/>
                <w:sz w:val="24"/>
              </w:rPr>
            </w:pPr>
            <w:r>
              <w:rPr>
                <w:rFonts w:hint="eastAsia" w:eastAsia="仿宋_GB2312" w:cs="仿宋"/>
                <w:kern w:val="0"/>
                <w:sz w:val="24"/>
              </w:rPr>
              <w:t>刘平青</w:t>
            </w:r>
          </w:p>
        </w:tc>
        <w:tc>
          <w:tcPr>
            <w:tcW w:w="1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63" w:leftChars="30" w:right="63" w:rightChars="30"/>
              <w:textAlignment w:val="center"/>
              <w:rPr>
                <w:rFonts w:eastAsia="仿宋_GB2312" w:cs="仿宋"/>
                <w:sz w:val="24"/>
              </w:rPr>
            </w:pPr>
            <w:r>
              <w:rPr>
                <w:rFonts w:hint="eastAsia" w:eastAsia="仿宋_GB2312" w:cs="仿宋"/>
                <w:kern w:val="0"/>
                <w:sz w:val="24"/>
              </w:rPr>
              <w:t>北京理工大学管理与经济学院副院长</w:t>
            </w:r>
          </w:p>
        </w:tc>
      </w:tr>
    </w:tbl>
    <w:p>
      <w:pPr>
        <w:ind w:firstLine="480" w:firstLineChars="200"/>
        <w:rPr>
          <w:rFonts w:eastAsia="仿宋_GB2312" w:cs="仿宋_GB2312"/>
          <w:sz w:val="24"/>
        </w:rPr>
      </w:pPr>
      <w:r>
        <w:rPr>
          <w:rFonts w:hint="eastAsia" w:eastAsia="仿宋_GB2312" w:cs="仿宋_GB2312"/>
          <w:sz w:val="24"/>
        </w:rPr>
        <w:t>说明：1.个别课程或稍有调整，请以平台最终发布课程为准；</w:t>
      </w:r>
    </w:p>
    <w:p>
      <w:pPr>
        <w:ind w:firstLine="1200" w:firstLineChars="500"/>
      </w:pPr>
      <w:r>
        <w:rPr>
          <w:rFonts w:hint="eastAsia" w:eastAsia="仿宋_GB2312" w:cs="仿宋_GB2312"/>
          <w:sz w:val="24"/>
        </w:rPr>
        <w:t>2.课程主讲人职务为课程录制时的职务。</w:t>
      </w:r>
    </w:p>
    <w:p>
      <w:bookmarkStart w:id="0" w:name="_GoBack"/>
      <w:bookmarkEnd w:id="0"/>
    </w:p>
    <w:sectPr>
      <w:footerReference r:id="rId3" w:type="default"/>
      <w:pgSz w:w="11906" w:h="16838"/>
      <w:pgMar w:top="1440" w:right="1701" w:bottom="1440" w:left="170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8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cs="黑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2021-11-26T03:10:23Z</dcterms:created>
  <dc:creator>Administrator</dc:creator>
  <cp:lastModifiedBy>一叶编舟</cp:lastModifiedBy>
  <dcterms:modified xsi:type="dcterms:W3CDTF">2021-11-26T03:10:26Z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0C58C3D7D6604BC8839D30BC47E4B130</vt:lpwstr>
  </property>
</Properties>
</file>