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omments.xml" ContentType="application/vnd.openxmlformats-officedocument.wordprocessingml.comments+xml"/>
  <Override PartName="/word/commentsExtended.xml" ContentType="application/vnd.openxmlformats-officedocument.wordprocessingml.commentsExtended+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42"/>
        <w:topLinePunct/>
        <w:spacing w:beforeLines="0" w:afterLines="0" w:line="276" w:lineRule="auto"/>
        <w:rPr>
          <w:rFonts w:ascii="Times New Roman" w:hAnsi="Times New Roman"/>
          <w:sz w:val="40"/>
          <w:szCs w:val="22"/>
        </w:rPr>
      </w:pPr>
    </w:p>
    <w:p>
      <w:pPr>
        <w:pStyle w:val="42"/>
        <w:topLinePunct/>
        <w:spacing w:beforeLines="0" w:afterLines="0" w:line="276" w:lineRule="auto"/>
        <w:rPr>
          <w:rFonts w:ascii="Times New Roman" w:hAnsi="Times New Roman"/>
          <w:sz w:val="40"/>
          <w:szCs w:val="22"/>
        </w:rPr>
      </w:pPr>
    </w:p>
    <w:p>
      <w:pPr>
        <w:pStyle w:val="42"/>
        <w:topLinePunct/>
        <w:spacing w:beforeLines="0" w:afterLines="0" w:line="276" w:lineRule="auto"/>
        <w:rPr>
          <w:rFonts w:ascii="Times New Roman" w:hAnsi="Times New Roman"/>
          <w:sz w:val="40"/>
          <w:szCs w:val="22"/>
        </w:rPr>
      </w:pPr>
    </w:p>
    <w:p>
      <w:pPr>
        <w:pStyle w:val="42"/>
        <w:topLinePunct/>
        <w:spacing w:beforeLines="0" w:afterLines="0" w:line="276" w:lineRule="auto"/>
        <w:rPr>
          <w:rFonts w:ascii="Times New Roman" w:hAnsi="Times New Roman"/>
          <w:sz w:val="40"/>
          <w:szCs w:val="22"/>
        </w:rPr>
      </w:pPr>
    </w:p>
    <w:p>
      <w:pPr>
        <w:pStyle w:val="42"/>
        <w:topLinePunct/>
        <w:spacing w:beforeLines="0" w:afterLines="0" w:line="276" w:lineRule="auto"/>
        <w:rPr>
          <w:rFonts w:ascii="Times New Roman" w:hAnsi="Times New Roman"/>
          <w:sz w:val="40"/>
          <w:szCs w:val="22"/>
        </w:rPr>
      </w:pPr>
    </w:p>
    <w:p>
      <w:pPr>
        <w:pStyle w:val="42"/>
        <w:topLinePunct/>
        <w:spacing w:beforeLines="0" w:afterLines="0" w:line="276" w:lineRule="auto"/>
        <w:rPr>
          <w:rFonts w:ascii="Times New Roman" w:hAnsi="Times New Roman"/>
          <w:sz w:val="40"/>
          <w:szCs w:val="22"/>
        </w:rPr>
      </w:pPr>
    </w:p>
    <w:p>
      <w:pPr>
        <w:spacing w:line="276" w:lineRule="auto"/>
        <w:jc w:val="center"/>
        <w:rPr>
          <w:rFonts w:eastAsia="黑体"/>
          <w:sz w:val="52"/>
          <w:szCs w:val="52"/>
        </w:rPr>
      </w:pPr>
      <w:bookmarkStart w:id="0" w:name="OLE_LINK2"/>
      <w:bookmarkStart w:id="1" w:name="OLE_LINK1"/>
      <w:r>
        <w:rPr>
          <w:rFonts w:eastAsia="黑体"/>
          <w:sz w:val="48"/>
          <w:szCs w:val="48"/>
        </w:rPr>
        <w:t>《</w:t>
      </w:r>
      <w:r>
        <w:rPr>
          <w:rFonts w:hint="eastAsia" w:eastAsia="黑体"/>
          <w:sz w:val="48"/>
          <w:szCs w:val="48"/>
        </w:rPr>
        <w:t xml:space="preserve">绿色设计产品评价技术规范 </w:t>
      </w:r>
      <w:r>
        <w:rPr>
          <w:rFonts w:eastAsia="黑体"/>
          <w:sz w:val="48"/>
          <w:szCs w:val="48"/>
        </w:rPr>
        <w:t xml:space="preserve"> </w:t>
      </w:r>
      <w:r>
        <w:rPr>
          <w:rFonts w:hint="eastAsia" w:eastAsia="黑体"/>
          <w:sz w:val="48"/>
          <w:szCs w:val="48"/>
          <w:lang w:eastAsia="zh-CN"/>
        </w:rPr>
        <w:t>石灰</w:t>
      </w:r>
      <w:r>
        <w:rPr>
          <w:rFonts w:eastAsia="黑体"/>
          <w:sz w:val="48"/>
          <w:szCs w:val="48"/>
        </w:rPr>
        <w:t>》</w:t>
      </w:r>
      <w:r>
        <w:rPr>
          <w:rFonts w:eastAsia="黑体"/>
          <w:sz w:val="48"/>
          <w:szCs w:val="48"/>
        </w:rPr>
        <w:br w:type="textWrapping"/>
      </w:r>
      <w:r>
        <w:rPr>
          <w:rFonts w:eastAsia="黑体"/>
          <w:sz w:val="52"/>
          <w:szCs w:val="52"/>
        </w:rPr>
        <w:t>编制说明</w:t>
      </w:r>
      <w:bookmarkEnd w:id="0"/>
      <w:bookmarkEnd w:id="1"/>
    </w:p>
    <w:p>
      <w:pPr>
        <w:pStyle w:val="42"/>
        <w:tabs>
          <w:tab w:val="clear" w:pos="5220"/>
        </w:tabs>
        <w:topLinePunct/>
        <w:spacing w:beforeLines="0" w:afterLines="0" w:line="276" w:lineRule="auto"/>
        <w:rPr>
          <w:rFonts w:ascii="Times New Roman" w:hAnsi="Times New Roman"/>
          <w:kern w:val="10"/>
          <w:sz w:val="40"/>
          <w:szCs w:val="22"/>
        </w:rPr>
      </w:pPr>
      <w:r>
        <w:rPr>
          <w:rFonts w:hint="eastAsia" w:ascii="Times New Roman" w:hAnsi="Times New Roman"/>
          <w:kern w:val="10"/>
          <w:sz w:val="40"/>
          <w:szCs w:val="22"/>
        </w:rPr>
        <w:t>（</w:t>
      </w:r>
      <w:r>
        <w:rPr>
          <w:rFonts w:hint="eastAsia" w:ascii="Times New Roman" w:hAnsi="Times New Roman"/>
          <w:kern w:val="10"/>
          <w:sz w:val="40"/>
          <w:szCs w:val="22"/>
          <w:lang w:val="en-US" w:eastAsia="zh-CN"/>
        </w:rPr>
        <w:t>征求意见</w:t>
      </w:r>
      <w:r>
        <w:rPr>
          <w:rFonts w:hint="eastAsia" w:ascii="Times New Roman" w:hAnsi="Times New Roman"/>
          <w:kern w:val="10"/>
          <w:sz w:val="40"/>
          <w:szCs w:val="22"/>
        </w:rPr>
        <w:t>稿）</w:t>
      </w:r>
    </w:p>
    <w:p>
      <w:pPr>
        <w:pStyle w:val="42"/>
        <w:topLinePunct/>
        <w:spacing w:beforeLines="0" w:afterLines="0" w:line="276" w:lineRule="auto"/>
        <w:rPr>
          <w:rFonts w:ascii="Times New Roman" w:hAnsi="Times New Roman"/>
          <w:kern w:val="10"/>
          <w:sz w:val="40"/>
          <w:szCs w:val="22"/>
        </w:rPr>
      </w:pPr>
    </w:p>
    <w:p>
      <w:pPr>
        <w:pStyle w:val="42"/>
        <w:topLinePunct/>
        <w:spacing w:beforeLines="0" w:afterLines="0" w:line="276" w:lineRule="auto"/>
        <w:rPr>
          <w:rFonts w:ascii="Times New Roman" w:hAnsi="Times New Roman"/>
          <w:kern w:val="10"/>
          <w:sz w:val="40"/>
          <w:szCs w:val="22"/>
        </w:rPr>
      </w:pPr>
    </w:p>
    <w:p>
      <w:pPr>
        <w:pStyle w:val="42"/>
        <w:topLinePunct/>
        <w:spacing w:beforeLines="0" w:afterLines="0" w:line="276" w:lineRule="auto"/>
        <w:rPr>
          <w:rFonts w:ascii="Times New Roman" w:hAnsi="Times New Roman"/>
          <w:kern w:val="10"/>
          <w:sz w:val="40"/>
          <w:szCs w:val="22"/>
        </w:rPr>
      </w:pPr>
    </w:p>
    <w:p>
      <w:pPr>
        <w:pStyle w:val="42"/>
        <w:topLinePunct/>
        <w:spacing w:beforeLines="0" w:afterLines="0" w:line="276" w:lineRule="auto"/>
        <w:rPr>
          <w:rFonts w:ascii="Times New Roman" w:hAnsi="Times New Roman"/>
          <w:kern w:val="10"/>
          <w:sz w:val="40"/>
          <w:szCs w:val="22"/>
        </w:rPr>
      </w:pPr>
    </w:p>
    <w:p>
      <w:pPr>
        <w:pStyle w:val="42"/>
        <w:topLinePunct/>
        <w:spacing w:beforeLines="0" w:afterLines="0" w:line="276" w:lineRule="auto"/>
        <w:rPr>
          <w:rFonts w:ascii="Times New Roman" w:hAnsi="Times New Roman"/>
          <w:kern w:val="10"/>
          <w:sz w:val="40"/>
          <w:szCs w:val="22"/>
        </w:rPr>
      </w:pPr>
    </w:p>
    <w:p>
      <w:pPr>
        <w:pStyle w:val="42"/>
        <w:topLinePunct/>
        <w:spacing w:beforeLines="0" w:afterLines="0" w:line="276" w:lineRule="auto"/>
        <w:rPr>
          <w:rFonts w:ascii="Times New Roman" w:hAnsi="Times New Roman"/>
          <w:kern w:val="10"/>
          <w:sz w:val="40"/>
          <w:szCs w:val="22"/>
        </w:rPr>
      </w:pPr>
    </w:p>
    <w:p>
      <w:pPr>
        <w:pStyle w:val="42"/>
        <w:topLinePunct/>
        <w:spacing w:beforeLines="0" w:afterLines="0" w:line="276" w:lineRule="auto"/>
        <w:rPr>
          <w:rFonts w:ascii="Times New Roman" w:hAnsi="Times New Roman"/>
          <w:kern w:val="10"/>
          <w:sz w:val="40"/>
          <w:szCs w:val="22"/>
        </w:rPr>
      </w:pPr>
    </w:p>
    <w:p>
      <w:pPr>
        <w:pStyle w:val="42"/>
        <w:topLinePunct/>
        <w:spacing w:beforeLines="0" w:afterLines="0" w:line="276" w:lineRule="auto"/>
        <w:rPr>
          <w:rFonts w:ascii="Times New Roman" w:hAnsi="Times New Roman"/>
          <w:kern w:val="10"/>
          <w:sz w:val="40"/>
          <w:szCs w:val="22"/>
        </w:rPr>
      </w:pPr>
    </w:p>
    <w:p>
      <w:pPr>
        <w:pStyle w:val="42"/>
        <w:topLinePunct/>
        <w:spacing w:beforeLines="0" w:afterLines="0" w:line="276" w:lineRule="auto"/>
        <w:rPr>
          <w:rFonts w:ascii="Times New Roman" w:hAnsi="Times New Roman"/>
          <w:kern w:val="10"/>
          <w:sz w:val="40"/>
          <w:szCs w:val="22"/>
        </w:rPr>
      </w:pPr>
    </w:p>
    <w:p>
      <w:pPr>
        <w:pStyle w:val="42"/>
        <w:topLinePunct/>
        <w:spacing w:beforeLines="0" w:afterLines="0" w:line="276" w:lineRule="auto"/>
        <w:rPr>
          <w:rFonts w:ascii="Times New Roman" w:hAnsi="Times New Roman"/>
          <w:kern w:val="10"/>
          <w:sz w:val="40"/>
          <w:szCs w:val="22"/>
        </w:rPr>
      </w:pPr>
    </w:p>
    <w:p>
      <w:pPr>
        <w:pStyle w:val="42"/>
        <w:topLinePunct/>
        <w:spacing w:beforeLines="0" w:afterLines="0" w:line="276" w:lineRule="auto"/>
        <w:rPr>
          <w:rFonts w:ascii="Times New Roman" w:hAnsi="Times New Roman"/>
          <w:kern w:val="10"/>
          <w:sz w:val="40"/>
          <w:szCs w:val="22"/>
        </w:rPr>
      </w:pPr>
    </w:p>
    <w:p>
      <w:pPr>
        <w:pStyle w:val="42"/>
        <w:topLinePunct/>
        <w:spacing w:beforeLines="0" w:afterLines="0" w:line="276" w:lineRule="auto"/>
        <w:rPr>
          <w:rFonts w:ascii="Times New Roman" w:hAnsi="Times New Roman"/>
          <w:kern w:val="10"/>
          <w:sz w:val="40"/>
          <w:szCs w:val="22"/>
        </w:rPr>
      </w:pPr>
    </w:p>
    <w:p>
      <w:pPr>
        <w:pStyle w:val="42"/>
        <w:topLinePunct/>
        <w:spacing w:beforeLines="0" w:afterLines="0" w:line="276" w:lineRule="auto"/>
        <w:rPr>
          <w:rFonts w:ascii="Times New Roman" w:hAnsi="Times New Roman"/>
          <w:kern w:val="10"/>
          <w:sz w:val="40"/>
          <w:szCs w:val="22"/>
        </w:rPr>
      </w:pPr>
    </w:p>
    <w:p>
      <w:pPr>
        <w:pStyle w:val="42"/>
        <w:topLinePunct/>
        <w:spacing w:beforeLines="0" w:afterLines="0" w:line="276" w:lineRule="auto"/>
        <w:rPr>
          <w:rFonts w:ascii="Times New Roman" w:hAnsi="Times New Roman"/>
          <w:kern w:val="10"/>
          <w:sz w:val="40"/>
          <w:szCs w:val="40"/>
        </w:rPr>
      </w:pPr>
      <w:r>
        <w:rPr>
          <w:rFonts w:ascii="Times New Roman" w:hAnsi="Times New Roman"/>
          <w:kern w:val="0"/>
          <w:sz w:val="40"/>
          <w:szCs w:val="40"/>
        </w:rPr>
        <w:t>绿色设计产品评价规范编制组</w:t>
      </w:r>
    </w:p>
    <w:p>
      <w:pPr>
        <w:pStyle w:val="42"/>
        <w:topLinePunct/>
        <w:spacing w:beforeLines="0" w:afterLines="0" w:line="276" w:lineRule="auto"/>
        <w:rPr>
          <w:rFonts w:ascii="Times New Roman" w:hAnsi="Times New Roman"/>
          <w:kern w:val="10"/>
          <w:sz w:val="40"/>
          <w:szCs w:val="22"/>
        </w:rPr>
      </w:pPr>
      <w:r>
        <w:rPr>
          <w:rFonts w:ascii="Times New Roman" w:hAnsi="Times New Roman"/>
          <w:kern w:val="0"/>
          <w:sz w:val="40"/>
          <w:szCs w:val="22"/>
        </w:rPr>
        <w:t>202</w:t>
      </w:r>
      <w:r>
        <w:rPr>
          <w:rFonts w:hint="eastAsia" w:ascii="Times New Roman" w:hAnsi="Times New Roman"/>
          <w:kern w:val="0"/>
          <w:sz w:val="40"/>
          <w:szCs w:val="22"/>
          <w:lang w:val="en-US" w:eastAsia="zh-CN"/>
        </w:rPr>
        <w:t>1</w:t>
      </w:r>
      <w:r>
        <w:rPr>
          <w:rFonts w:ascii="Times New Roman" w:hAnsi="Times New Roman"/>
          <w:kern w:val="0"/>
          <w:sz w:val="40"/>
          <w:szCs w:val="22"/>
        </w:rPr>
        <w:t>年12</w:t>
      </w:r>
      <w:r>
        <w:rPr>
          <w:rFonts w:ascii="Times New Roman" w:hAnsi="Times New Roman"/>
          <w:spacing w:val="8"/>
          <w:kern w:val="0"/>
          <w:sz w:val="40"/>
          <w:szCs w:val="22"/>
        </w:rPr>
        <w:t>月</w:t>
      </w:r>
    </w:p>
    <w:p>
      <w:pPr>
        <w:widowControl/>
        <w:topLinePunct/>
        <w:spacing w:line="276" w:lineRule="auto"/>
        <w:jc w:val="left"/>
        <w:rPr>
          <w:kern w:val="10"/>
          <w:sz w:val="24"/>
          <w:szCs w:val="32"/>
        </w:rPr>
        <w:sectPr>
          <w:headerReference r:id="rId5" w:type="default"/>
          <w:footerReference r:id="rId7" w:type="default"/>
          <w:headerReference r:id="rId6" w:type="even"/>
          <w:pgSz w:w="11906" w:h="16838"/>
          <w:pgMar w:top="1440" w:right="1800" w:bottom="1440" w:left="1800" w:header="737" w:footer="737" w:gutter="0"/>
          <w:cols w:space="720" w:num="1"/>
          <w:formProt w:val="0"/>
          <w:docGrid w:type="lines" w:linePitch="312" w:charSpace="0"/>
        </w:sectPr>
      </w:pPr>
      <w:r>
        <w:rPr>
          <w:kern w:val="10"/>
          <w:sz w:val="24"/>
          <w:szCs w:val="32"/>
        </w:rPr>
        <w:br w:type="page"/>
      </w:r>
    </w:p>
    <w:p>
      <w:pPr>
        <w:widowControl/>
        <w:topLinePunct/>
        <w:spacing w:line="276" w:lineRule="auto"/>
        <w:jc w:val="left"/>
        <w:rPr>
          <w:kern w:val="10"/>
          <w:sz w:val="24"/>
          <w:szCs w:val="32"/>
        </w:rPr>
      </w:pPr>
    </w:p>
    <w:p>
      <w:pPr>
        <w:widowControl/>
        <w:topLinePunct/>
        <w:spacing w:line="276" w:lineRule="auto"/>
        <w:jc w:val="left"/>
        <w:rPr>
          <w:rFonts w:eastAsia="黑体"/>
          <w:kern w:val="10"/>
          <w:sz w:val="40"/>
          <w:szCs w:val="22"/>
        </w:rPr>
      </w:pPr>
    </w:p>
    <w:sdt>
      <w:sdtPr>
        <w:rPr>
          <w:rFonts w:ascii="Times New Roman" w:hAnsi="Times New Roman" w:eastAsia="宋体" w:cs="Times New Roman"/>
          <w:color w:val="auto"/>
          <w:kern w:val="2"/>
          <w:sz w:val="24"/>
          <w:szCs w:val="24"/>
          <w:lang w:val="zh-CN"/>
        </w:rPr>
        <w:id w:val="-689370515"/>
        <w:docPartObj>
          <w:docPartGallery w:val="Table of Contents"/>
          <w:docPartUnique/>
        </w:docPartObj>
      </w:sdtPr>
      <w:sdtEndPr>
        <w:rPr>
          <w:rFonts w:ascii="Times New Roman" w:hAnsi="Times New Roman" w:eastAsia="宋体" w:cs="Times New Roman"/>
          <w:b/>
          <w:bCs/>
          <w:color w:val="auto"/>
          <w:kern w:val="2"/>
          <w:sz w:val="24"/>
          <w:szCs w:val="24"/>
          <w:lang w:val="zh-CN"/>
        </w:rPr>
      </w:sdtEndPr>
      <w:sdtContent>
        <w:p>
          <w:pPr>
            <w:pStyle w:val="60"/>
            <w:spacing w:line="276" w:lineRule="auto"/>
            <w:jc w:val="center"/>
            <w:rPr>
              <w:rFonts w:ascii="Times New Roman" w:hAnsi="Times New Roman" w:eastAsia="黑体" w:cs="Times New Roman"/>
              <w:color w:val="auto"/>
              <w:sz w:val="40"/>
              <w:szCs w:val="22"/>
            </w:rPr>
          </w:pPr>
          <w:r>
            <w:rPr>
              <w:rFonts w:ascii="Times New Roman" w:hAnsi="Times New Roman" w:eastAsia="黑体" w:cs="Times New Roman"/>
              <w:color w:val="auto"/>
              <w:sz w:val="40"/>
              <w:szCs w:val="22"/>
            </w:rPr>
            <w:t>目</w:t>
          </w:r>
          <w:r>
            <w:rPr>
              <w:rFonts w:hint="eastAsia" w:ascii="Times New Roman" w:hAnsi="Times New Roman" w:eastAsia="黑体" w:cs="Times New Roman"/>
              <w:color w:val="auto"/>
              <w:sz w:val="40"/>
              <w:szCs w:val="22"/>
            </w:rPr>
            <w:t xml:space="preserve"> </w:t>
          </w:r>
          <w:r>
            <w:rPr>
              <w:rFonts w:ascii="Times New Roman" w:hAnsi="Times New Roman" w:eastAsia="黑体" w:cs="Times New Roman"/>
              <w:color w:val="auto"/>
              <w:sz w:val="40"/>
              <w:szCs w:val="22"/>
            </w:rPr>
            <w:t>录</w:t>
          </w:r>
        </w:p>
        <w:p>
          <w:pPr>
            <w:pStyle w:val="19"/>
            <w:tabs>
              <w:tab w:val="right" w:leader="dot" w:pos="8222"/>
              <w:tab w:val="clear" w:pos="9241"/>
            </w:tabs>
            <w:spacing w:before="78" w:after="78" w:line="276" w:lineRule="auto"/>
            <w:rPr>
              <w:rFonts w:asciiTheme="minorHAnsi" w:hAnsiTheme="minorHAnsi" w:eastAsiaTheme="minorEastAsia" w:cstheme="minorBidi"/>
              <w:sz w:val="24"/>
              <w:szCs w:val="28"/>
            </w:rPr>
          </w:pPr>
          <w:r>
            <w:rPr>
              <w:sz w:val="24"/>
              <w:szCs w:val="24"/>
            </w:rPr>
            <w:fldChar w:fldCharType="begin"/>
          </w:r>
          <w:r>
            <w:rPr>
              <w:sz w:val="24"/>
              <w:szCs w:val="24"/>
            </w:rPr>
            <w:instrText xml:space="preserve"> TOC \o "1-3" \h \z \u </w:instrText>
          </w:r>
          <w:r>
            <w:rPr>
              <w:sz w:val="24"/>
              <w:szCs w:val="24"/>
            </w:rPr>
            <w:fldChar w:fldCharType="separate"/>
          </w:r>
          <w:r>
            <w:fldChar w:fldCharType="begin"/>
          </w:r>
          <w:r>
            <w:instrText xml:space="preserve"> HYPERLINK \l "_Toc42087764" </w:instrText>
          </w:r>
          <w:r>
            <w:fldChar w:fldCharType="separate"/>
          </w:r>
          <w:r>
            <w:rPr>
              <w:rStyle w:val="33"/>
              <w:sz w:val="24"/>
              <w:szCs w:val="24"/>
            </w:rPr>
            <w:t>一、任务来源及编制背景</w:t>
          </w:r>
          <w:r>
            <w:rPr>
              <w:sz w:val="24"/>
              <w:szCs w:val="24"/>
            </w:rPr>
            <w:tab/>
          </w:r>
          <w:r>
            <w:rPr>
              <w:sz w:val="24"/>
              <w:szCs w:val="24"/>
            </w:rPr>
            <w:fldChar w:fldCharType="begin"/>
          </w:r>
          <w:r>
            <w:rPr>
              <w:sz w:val="24"/>
              <w:szCs w:val="24"/>
            </w:rPr>
            <w:instrText xml:space="preserve"> PAGEREF _Toc42087764 \h </w:instrText>
          </w:r>
          <w:r>
            <w:rPr>
              <w:sz w:val="24"/>
              <w:szCs w:val="24"/>
            </w:rPr>
            <w:fldChar w:fldCharType="separate"/>
          </w:r>
          <w:r>
            <w:rPr>
              <w:sz w:val="24"/>
              <w:szCs w:val="24"/>
            </w:rPr>
            <w:t>1</w:t>
          </w:r>
          <w:r>
            <w:rPr>
              <w:sz w:val="24"/>
              <w:szCs w:val="24"/>
            </w:rPr>
            <w:fldChar w:fldCharType="end"/>
          </w:r>
          <w:r>
            <w:rPr>
              <w:sz w:val="24"/>
              <w:szCs w:val="24"/>
            </w:rPr>
            <w:fldChar w:fldCharType="end"/>
          </w:r>
        </w:p>
        <w:p>
          <w:pPr>
            <w:pStyle w:val="22"/>
            <w:tabs>
              <w:tab w:val="right" w:leader="dot" w:pos="8222"/>
              <w:tab w:val="clear" w:pos="9241"/>
            </w:tabs>
            <w:spacing w:line="276" w:lineRule="auto"/>
            <w:rPr>
              <w:rFonts w:asciiTheme="minorHAnsi" w:hAnsiTheme="minorHAnsi" w:eastAsiaTheme="minorEastAsia" w:cstheme="minorBidi"/>
              <w:sz w:val="24"/>
              <w:szCs w:val="28"/>
            </w:rPr>
          </w:pPr>
          <w:r>
            <w:fldChar w:fldCharType="begin"/>
          </w:r>
          <w:r>
            <w:instrText xml:space="preserve"> HYPERLINK \l "_Toc42087765" </w:instrText>
          </w:r>
          <w:r>
            <w:fldChar w:fldCharType="separate"/>
          </w:r>
          <w:r>
            <w:rPr>
              <w:rStyle w:val="33"/>
              <w:rFonts w:ascii="Times New Roman"/>
              <w:sz w:val="24"/>
              <w:szCs w:val="24"/>
            </w:rPr>
            <w:t>1.1任务来源</w:t>
          </w:r>
          <w:r>
            <w:rPr>
              <w:sz w:val="24"/>
              <w:szCs w:val="24"/>
            </w:rPr>
            <w:tab/>
          </w:r>
          <w:r>
            <w:rPr>
              <w:sz w:val="24"/>
              <w:szCs w:val="24"/>
            </w:rPr>
            <w:fldChar w:fldCharType="begin"/>
          </w:r>
          <w:r>
            <w:rPr>
              <w:sz w:val="24"/>
              <w:szCs w:val="24"/>
            </w:rPr>
            <w:instrText xml:space="preserve"> PAGEREF _Toc42087765 \h </w:instrText>
          </w:r>
          <w:r>
            <w:rPr>
              <w:sz w:val="24"/>
              <w:szCs w:val="24"/>
            </w:rPr>
            <w:fldChar w:fldCharType="separate"/>
          </w:r>
          <w:r>
            <w:rPr>
              <w:sz w:val="24"/>
              <w:szCs w:val="24"/>
            </w:rPr>
            <w:t>1</w:t>
          </w:r>
          <w:r>
            <w:rPr>
              <w:sz w:val="24"/>
              <w:szCs w:val="24"/>
            </w:rPr>
            <w:fldChar w:fldCharType="end"/>
          </w:r>
          <w:r>
            <w:rPr>
              <w:sz w:val="24"/>
              <w:szCs w:val="24"/>
            </w:rPr>
            <w:fldChar w:fldCharType="end"/>
          </w:r>
        </w:p>
        <w:p>
          <w:pPr>
            <w:pStyle w:val="22"/>
            <w:tabs>
              <w:tab w:val="right" w:leader="dot" w:pos="8222"/>
              <w:tab w:val="clear" w:pos="9241"/>
            </w:tabs>
            <w:spacing w:line="276" w:lineRule="auto"/>
            <w:rPr>
              <w:rFonts w:asciiTheme="minorHAnsi" w:hAnsiTheme="minorHAnsi" w:eastAsiaTheme="minorEastAsia" w:cstheme="minorBidi"/>
              <w:sz w:val="24"/>
              <w:szCs w:val="28"/>
            </w:rPr>
          </w:pPr>
          <w:r>
            <w:fldChar w:fldCharType="begin"/>
          </w:r>
          <w:r>
            <w:instrText xml:space="preserve"> HYPERLINK \l "_Toc42087766" </w:instrText>
          </w:r>
          <w:r>
            <w:fldChar w:fldCharType="separate"/>
          </w:r>
          <w:r>
            <w:rPr>
              <w:rStyle w:val="33"/>
              <w:rFonts w:ascii="Times New Roman"/>
              <w:sz w:val="24"/>
              <w:szCs w:val="24"/>
            </w:rPr>
            <w:t>1.2 背景和意义</w:t>
          </w:r>
          <w:r>
            <w:rPr>
              <w:sz w:val="24"/>
              <w:szCs w:val="24"/>
            </w:rPr>
            <w:tab/>
          </w:r>
          <w:r>
            <w:rPr>
              <w:sz w:val="24"/>
              <w:szCs w:val="24"/>
            </w:rPr>
            <w:fldChar w:fldCharType="begin"/>
          </w:r>
          <w:r>
            <w:rPr>
              <w:sz w:val="24"/>
              <w:szCs w:val="24"/>
            </w:rPr>
            <w:instrText xml:space="preserve"> PAGEREF _Toc42087766 \h </w:instrText>
          </w:r>
          <w:r>
            <w:rPr>
              <w:sz w:val="24"/>
              <w:szCs w:val="24"/>
            </w:rPr>
            <w:fldChar w:fldCharType="separate"/>
          </w:r>
          <w:r>
            <w:rPr>
              <w:sz w:val="24"/>
              <w:szCs w:val="24"/>
            </w:rPr>
            <w:t>1</w:t>
          </w:r>
          <w:r>
            <w:rPr>
              <w:sz w:val="24"/>
              <w:szCs w:val="24"/>
            </w:rPr>
            <w:fldChar w:fldCharType="end"/>
          </w:r>
          <w:r>
            <w:rPr>
              <w:sz w:val="24"/>
              <w:szCs w:val="24"/>
            </w:rPr>
            <w:fldChar w:fldCharType="end"/>
          </w:r>
        </w:p>
        <w:p>
          <w:pPr>
            <w:pStyle w:val="19"/>
            <w:tabs>
              <w:tab w:val="right" w:leader="dot" w:pos="8222"/>
              <w:tab w:val="clear" w:pos="9241"/>
            </w:tabs>
            <w:spacing w:before="78" w:after="78" w:line="276" w:lineRule="auto"/>
            <w:rPr>
              <w:rFonts w:asciiTheme="minorHAnsi" w:hAnsiTheme="minorHAnsi" w:eastAsiaTheme="minorEastAsia" w:cstheme="minorBidi"/>
              <w:sz w:val="24"/>
              <w:szCs w:val="28"/>
            </w:rPr>
          </w:pPr>
          <w:r>
            <w:fldChar w:fldCharType="begin"/>
          </w:r>
          <w:r>
            <w:instrText xml:space="preserve"> HYPERLINK \l "_Toc42087767" </w:instrText>
          </w:r>
          <w:r>
            <w:fldChar w:fldCharType="separate"/>
          </w:r>
          <w:r>
            <w:rPr>
              <w:rStyle w:val="33"/>
              <w:sz w:val="24"/>
              <w:szCs w:val="24"/>
            </w:rPr>
            <w:t>二、工作简况</w:t>
          </w:r>
          <w:r>
            <w:rPr>
              <w:sz w:val="24"/>
              <w:szCs w:val="24"/>
            </w:rPr>
            <w:tab/>
          </w:r>
          <w:r>
            <w:rPr>
              <w:sz w:val="24"/>
              <w:szCs w:val="24"/>
            </w:rPr>
            <w:fldChar w:fldCharType="begin"/>
          </w:r>
          <w:r>
            <w:rPr>
              <w:sz w:val="24"/>
              <w:szCs w:val="24"/>
            </w:rPr>
            <w:instrText xml:space="preserve"> PAGEREF _Toc42087767 \h </w:instrText>
          </w:r>
          <w:r>
            <w:rPr>
              <w:sz w:val="24"/>
              <w:szCs w:val="24"/>
            </w:rPr>
            <w:fldChar w:fldCharType="separate"/>
          </w:r>
          <w:r>
            <w:rPr>
              <w:sz w:val="24"/>
              <w:szCs w:val="24"/>
            </w:rPr>
            <w:t>2</w:t>
          </w:r>
          <w:r>
            <w:rPr>
              <w:sz w:val="24"/>
              <w:szCs w:val="24"/>
            </w:rPr>
            <w:fldChar w:fldCharType="end"/>
          </w:r>
          <w:r>
            <w:rPr>
              <w:sz w:val="24"/>
              <w:szCs w:val="24"/>
            </w:rPr>
            <w:fldChar w:fldCharType="end"/>
          </w:r>
        </w:p>
        <w:p>
          <w:pPr>
            <w:pStyle w:val="19"/>
            <w:tabs>
              <w:tab w:val="right" w:leader="dot" w:pos="8222"/>
              <w:tab w:val="clear" w:pos="9241"/>
            </w:tabs>
            <w:spacing w:before="78" w:after="78" w:line="276" w:lineRule="auto"/>
            <w:rPr>
              <w:rFonts w:asciiTheme="minorHAnsi" w:hAnsiTheme="minorHAnsi" w:eastAsiaTheme="minorEastAsia" w:cstheme="minorBidi"/>
              <w:sz w:val="24"/>
              <w:szCs w:val="28"/>
            </w:rPr>
          </w:pPr>
          <w:r>
            <w:fldChar w:fldCharType="begin"/>
          </w:r>
          <w:r>
            <w:instrText xml:space="preserve"> HYPERLINK \l "_Toc42087768" </w:instrText>
          </w:r>
          <w:r>
            <w:fldChar w:fldCharType="separate"/>
          </w:r>
          <w:r>
            <w:rPr>
              <w:rStyle w:val="33"/>
              <w:sz w:val="24"/>
              <w:szCs w:val="24"/>
            </w:rPr>
            <w:t>三、编制原则及标准的主要技术内容说明</w:t>
          </w:r>
          <w:r>
            <w:rPr>
              <w:sz w:val="24"/>
              <w:szCs w:val="24"/>
            </w:rPr>
            <w:tab/>
          </w:r>
          <w:r>
            <w:rPr>
              <w:sz w:val="24"/>
              <w:szCs w:val="24"/>
            </w:rPr>
            <w:fldChar w:fldCharType="begin"/>
          </w:r>
          <w:r>
            <w:rPr>
              <w:sz w:val="24"/>
              <w:szCs w:val="24"/>
            </w:rPr>
            <w:instrText xml:space="preserve"> PAGEREF _Toc42087768 \h </w:instrText>
          </w:r>
          <w:r>
            <w:rPr>
              <w:sz w:val="24"/>
              <w:szCs w:val="24"/>
            </w:rPr>
            <w:fldChar w:fldCharType="separate"/>
          </w:r>
          <w:r>
            <w:rPr>
              <w:sz w:val="24"/>
              <w:szCs w:val="24"/>
            </w:rPr>
            <w:t>4</w:t>
          </w:r>
          <w:r>
            <w:rPr>
              <w:sz w:val="24"/>
              <w:szCs w:val="24"/>
            </w:rPr>
            <w:fldChar w:fldCharType="end"/>
          </w:r>
          <w:r>
            <w:rPr>
              <w:sz w:val="24"/>
              <w:szCs w:val="24"/>
            </w:rPr>
            <w:fldChar w:fldCharType="end"/>
          </w:r>
        </w:p>
        <w:p>
          <w:pPr>
            <w:pStyle w:val="22"/>
            <w:tabs>
              <w:tab w:val="right" w:leader="dot" w:pos="8222"/>
              <w:tab w:val="clear" w:pos="9241"/>
            </w:tabs>
            <w:spacing w:line="276" w:lineRule="auto"/>
            <w:rPr>
              <w:rFonts w:asciiTheme="minorHAnsi" w:hAnsiTheme="minorHAnsi" w:eastAsiaTheme="minorEastAsia" w:cstheme="minorBidi"/>
              <w:sz w:val="24"/>
              <w:szCs w:val="28"/>
            </w:rPr>
          </w:pPr>
          <w:r>
            <w:fldChar w:fldCharType="begin"/>
          </w:r>
          <w:r>
            <w:instrText xml:space="preserve"> HYPERLINK \l "_Toc42087769" </w:instrText>
          </w:r>
          <w:r>
            <w:fldChar w:fldCharType="separate"/>
          </w:r>
          <w:r>
            <w:rPr>
              <w:rStyle w:val="33"/>
              <w:rFonts w:ascii="Times New Roman"/>
              <w:sz w:val="24"/>
              <w:szCs w:val="24"/>
            </w:rPr>
            <w:t>3.1本标准的编制原则</w:t>
          </w:r>
          <w:r>
            <w:rPr>
              <w:sz w:val="24"/>
              <w:szCs w:val="24"/>
            </w:rPr>
            <w:tab/>
          </w:r>
          <w:r>
            <w:rPr>
              <w:sz w:val="24"/>
              <w:szCs w:val="24"/>
            </w:rPr>
            <w:fldChar w:fldCharType="begin"/>
          </w:r>
          <w:r>
            <w:rPr>
              <w:sz w:val="24"/>
              <w:szCs w:val="24"/>
            </w:rPr>
            <w:instrText xml:space="preserve"> PAGEREF _Toc42087769 \h </w:instrText>
          </w:r>
          <w:r>
            <w:rPr>
              <w:sz w:val="24"/>
              <w:szCs w:val="24"/>
            </w:rPr>
            <w:fldChar w:fldCharType="separate"/>
          </w:r>
          <w:r>
            <w:rPr>
              <w:sz w:val="24"/>
              <w:szCs w:val="24"/>
            </w:rPr>
            <w:t>4</w:t>
          </w:r>
          <w:r>
            <w:rPr>
              <w:sz w:val="24"/>
              <w:szCs w:val="24"/>
            </w:rPr>
            <w:fldChar w:fldCharType="end"/>
          </w:r>
          <w:r>
            <w:rPr>
              <w:sz w:val="24"/>
              <w:szCs w:val="24"/>
            </w:rPr>
            <w:fldChar w:fldCharType="end"/>
          </w:r>
        </w:p>
        <w:p>
          <w:pPr>
            <w:pStyle w:val="22"/>
            <w:tabs>
              <w:tab w:val="right" w:leader="dot" w:pos="8222"/>
              <w:tab w:val="clear" w:pos="9241"/>
            </w:tabs>
            <w:spacing w:line="276" w:lineRule="auto"/>
            <w:rPr>
              <w:rFonts w:asciiTheme="minorHAnsi" w:hAnsiTheme="minorHAnsi" w:eastAsiaTheme="minorEastAsia" w:cstheme="minorBidi"/>
              <w:sz w:val="24"/>
              <w:szCs w:val="28"/>
            </w:rPr>
          </w:pPr>
          <w:r>
            <w:fldChar w:fldCharType="begin"/>
          </w:r>
          <w:r>
            <w:instrText xml:space="preserve"> HYPERLINK \l "_Toc42087770" </w:instrText>
          </w:r>
          <w:r>
            <w:fldChar w:fldCharType="separate"/>
          </w:r>
          <w:r>
            <w:rPr>
              <w:rStyle w:val="33"/>
              <w:rFonts w:ascii="Times New Roman"/>
              <w:sz w:val="24"/>
              <w:szCs w:val="24"/>
            </w:rPr>
            <w:t>3.2标准的主要内容及说明</w:t>
          </w:r>
          <w:r>
            <w:rPr>
              <w:sz w:val="24"/>
              <w:szCs w:val="24"/>
            </w:rPr>
            <w:tab/>
          </w:r>
          <w:r>
            <w:rPr>
              <w:sz w:val="24"/>
              <w:szCs w:val="24"/>
            </w:rPr>
            <w:fldChar w:fldCharType="begin"/>
          </w:r>
          <w:r>
            <w:rPr>
              <w:sz w:val="24"/>
              <w:szCs w:val="24"/>
            </w:rPr>
            <w:instrText xml:space="preserve"> PAGEREF _Toc42087770 \h </w:instrText>
          </w:r>
          <w:r>
            <w:rPr>
              <w:sz w:val="24"/>
              <w:szCs w:val="24"/>
            </w:rPr>
            <w:fldChar w:fldCharType="separate"/>
          </w:r>
          <w:r>
            <w:rPr>
              <w:sz w:val="24"/>
              <w:szCs w:val="24"/>
            </w:rPr>
            <w:t>4</w:t>
          </w:r>
          <w:r>
            <w:rPr>
              <w:sz w:val="24"/>
              <w:szCs w:val="24"/>
            </w:rPr>
            <w:fldChar w:fldCharType="end"/>
          </w:r>
          <w:r>
            <w:rPr>
              <w:sz w:val="24"/>
              <w:szCs w:val="24"/>
            </w:rPr>
            <w:fldChar w:fldCharType="end"/>
          </w:r>
        </w:p>
        <w:p>
          <w:pPr>
            <w:pStyle w:val="12"/>
            <w:tabs>
              <w:tab w:val="right" w:leader="dot" w:pos="8222"/>
            </w:tabs>
            <w:spacing w:line="276" w:lineRule="auto"/>
            <w:rPr>
              <w:rFonts w:asciiTheme="minorHAnsi" w:hAnsiTheme="minorHAnsi" w:eastAsiaTheme="minorEastAsia" w:cstheme="minorBidi"/>
              <w:sz w:val="24"/>
              <w:szCs w:val="28"/>
            </w:rPr>
          </w:pPr>
          <w:r>
            <w:fldChar w:fldCharType="begin"/>
          </w:r>
          <w:r>
            <w:instrText xml:space="preserve"> HYPERLINK \l "_Toc42087771" </w:instrText>
          </w:r>
          <w:r>
            <w:fldChar w:fldCharType="separate"/>
          </w:r>
          <w:r>
            <w:rPr>
              <w:rStyle w:val="33"/>
              <w:sz w:val="24"/>
              <w:szCs w:val="24"/>
            </w:rPr>
            <w:t>3.2.1 范围</w:t>
          </w:r>
          <w:r>
            <w:rPr>
              <w:sz w:val="24"/>
              <w:szCs w:val="32"/>
            </w:rPr>
            <w:tab/>
          </w:r>
          <w:r>
            <w:rPr>
              <w:sz w:val="24"/>
              <w:szCs w:val="32"/>
            </w:rPr>
            <w:fldChar w:fldCharType="begin"/>
          </w:r>
          <w:r>
            <w:rPr>
              <w:sz w:val="24"/>
              <w:szCs w:val="32"/>
            </w:rPr>
            <w:instrText xml:space="preserve"> PAGEREF _Toc42087771 \h </w:instrText>
          </w:r>
          <w:r>
            <w:rPr>
              <w:sz w:val="24"/>
              <w:szCs w:val="32"/>
            </w:rPr>
            <w:fldChar w:fldCharType="separate"/>
          </w:r>
          <w:r>
            <w:rPr>
              <w:sz w:val="24"/>
              <w:szCs w:val="32"/>
            </w:rPr>
            <w:t>4</w:t>
          </w:r>
          <w:r>
            <w:rPr>
              <w:sz w:val="24"/>
              <w:szCs w:val="32"/>
            </w:rPr>
            <w:fldChar w:fldCharType="end"/>
          </w:r>
          <w:r>
            <w:rPr>
              <w:sz w:val="24"/>
              <w:szCs w:val="32"/>
            </w:rPr>
            <w:fldChar w:fldCharType="end"/>
          </w:r>
        </w:p>
        <w:p>
          <w:pPr>
            <w:pStyle w:val="12"/>
            <w:tabs>
              <w:tab w:val="right" w:leader="dot" w:pos="8222"/>
            </w:tabs>
            <w:spacing w:line="276" w:lineRule="auto"/>
            <w:rPr>
              <w:rFonts w:asciiTheme="minorHAnsi" w:hAnsiTheme="minorHAnsi" w:eastAsiaTheme="minorEastAsia" w:cstheme="minorBidi"/>
              <w:sz w:val="24"/>
              <w:szCs w:val="28"/>
            </w:rPr>
          </w:pPr>
          <w:r>
            <w:fldChar w:fldCharType="begin"/>
          </w:r>
          <w:r>
            <w:instrText xml:space="preserve"> HYPERLINK \l "_Toc42087772" </w:instrText>
          </w:r>
          <w:r>
            <w:fldChar w:fldCharType="separate"/>
          </w:r>
          <w:r>
            <w:rPr>
              <w:rStyle w:val="33"/>
              <w:sz w:val="24"/>
              <w:szCs w:val="24"/>
            </w:rPr>
            <w:t>3.2.2 术语和定义</w:t>
          </w:r>
          <w:r>
            <w:rPr>
              <w:sz w:val="24"/>
              <w:szCs w:val="32"/>
            </w:rPr>
            <w:tab/>
          </w:r>
          <w:r>
            <w:rPr>
              <w:sz w:val="24"/>
              <w:szCs w:val="32"/>
            </w:rPr>
            <w:fldChar w:fldCharType="begin"/>
          </w:r>
          <w:r>
            <w:rPr>
              <w:sz w:val="24"/>
              <w:szCs w:val="32"/>
            </w:rPr>
            <w:instrText xml:space="preserve"> PAGEREF _Toc42087772 \h </w:instrText>
          </w:r>
          <w:r>
            <w:rPr>
              <w:sz w:val="24"/>
              <w:szCs w:val="32"/>
            </w:rPr>
            <w:fldChar w:fldCharType="separate"/>
          </w:r>
          <w:r>
            <w:rPr>
              <w:sz w:val="24"/>
              <w:szCs w:val="32"/>
            </w:rPr>
            <w:t>4</w:t>
          </w:r>
          <w:r>
            <w:rPr>
              <w:sz w:val="24"/>
              <w:szCs w:val="32"/>
            </w:rPr>
            <w:fldChar w:fldCharType="end"/>
          </w:r>
          <w:r>
            <w:rPr>
              <w:sz w:val="24"/>
              <w:szCs w:val="32"/>
            </w:rPr>
            <w:fldChar w:fldCharType="end"/>
          </w:r>
        </w:p>
        <w:p>
          <w:pPr>
            <w:pStyle w:val="12"/>
            <w:tabs>
              <w:tab w:val="right" w:leader="dot" w:pos="8222"/>
            </w:tabs>
            <w:spacing w:line="276" w:lineRule="auto"/>
            <w:rPr>
              <w:rFonts w:asciiTheme="minorHAnsi" w:hAnsiTheme="minorHAnsi" w:eastAsiaTheme="minorEastAsia" w:cstheme="minorBidi"/>
              <w:sz w:val="24"/>
              <w:szCs w:val="28"/>
            </w:rPr>
          </w:pPr>
          <w:r>
            <w:fldChar w:fldCharType="begin"/>
          </w:r>
          <w:r>
            <w:instrText xml:space="preserve"> HYPERLINK \l "_Toc42087773" </w:instrText>
          </w:r>
          <w:r>
            <w:fldChar w:fldCharType="separate"/>
          </w:r>
          <w:r>
            <w:rPr>
              <w:rStyle w:val="33"/>
              <w:sz w:val="24"/>
              <w:szCs w:val="24"/>
            </w:rPr>
            <w:t>3.2.3 主要技术指标</w:t>
          </w:r>
          <w:r>
            <w:rPr>
              <w:sz w:val="24"/>
              <w:szCs w:val="32"/>
            </w:rPr>
            <w:tab/>
          </w:r>
          <w:r>
            <w:rPr>
              <w:sz w:val="24"/>
              <w:szCs w:val="32"/>
            </w:rPr>
            <w:fldChar w:fldCharType="begin"/>
          </w:r>
          <w:r>
            <w:rPr>
              <w:sz w:val="24"/>
              <w:szCs w:val="32"/>
            </w:rPr>
            <w:instrText xml:space="preserve"> PAGEREF _Toc42087773 \h </w:instrText>
          </w:r>
          <w:r>
            <w:rPr>
              <w:sz w:val="24"/>
              <w:szCs w:val="32"/>
            </w:rPr>
            <w:fldChar w:fldCharType="separate"/>
          </w:r>
          <w:r>
            <w:rPr>
              <w:sz w:val="24"/>
              <w:szCs w:val="32"/>
            </w:rPr>
            <w:t>5</w:t>
          </w:r>
          <w:r>
            <w:rPr>
              <w:sz w:val="24"/>
              <w:szCs w:val="32"/>
            </w:rPr>
            <w:fldChar w:fldCharType="end"/>
          </w:r>
          <w:r>
            <w:rPr>
              <w:sz w:val="24"/>
              <w:szCs w:val="32"/>
            </w:rPr>
            <w:fldChar w:fldCharType="end"/>
          </w:r>
        </w:p>
        <w:p>
          <w:pPr>
            <w:pStyle w:val="12"/>
            <w:tabs>
              <w:tab w:val="right" w:leader="dot" w:pos="8222"/>
            </w:tabs>
            <w:spacing w:line="276" w:lineRule="auto"/>
            <w:rPr>
              <w:rFonts w:asciiTheme="minorHAnsi" w:hAnsiTheme="minorHAnsi" w:eastAsiaTheme="minorEastAsia" w:cstheme="minorBidi"/>
              <w:sz w:val="24"/>
              <w:szCs w:val="28"/>
            </w:rPr>
          </w:pPr>
          <w:r>
            <w:fldChar w:fldCharType="begin"/>
          </w:r>
          <w:r>
            <w:instrText xml:space="preserve"> HYPERLINK \l "_Toc42087774" </w:instrText>
          </w:r>
          <w:r>
            <w:fldChar w:fldCharType="separate"/>
          </w:r>
          <w:r>
            <w:rPr>
              <w:rStyle w:val="33"/>
              <w:sz w:val="24"/>
              <w:szCs w:val="24"/>
            </w:rPr>
            <w:t>3.2.4 产品生命周期评价报告编制方法</w:t>
          </w:r>
          <w:r>
            <w:rPr>
              <w:sz w:val="24"/>
              <w:szCs w:val="32"/>
            </w:rPr>
            <w:tab/>
          </w:r>
          <w:r>
            <w:rPr>
              <w:sz w:val="24"/>
              <w:szCs w:val="32"/>
            </w:rPr>
            <w:fldChar w:fldCharType="begin"/>
          </w:r>
          <w:r>
            <w:rPr>
              <w:sz w:val="24"/>
              <w:szCs w:val="32"/>
            </w:rPr>
            <w:instrText xml:space="preserve"> PAGEREF _Toc42087774 \h </w:instrText>
          </w:r>
          <w:r>
            <w:rPr>
              <w:sz w:val="24"/>
              <w:szCs w:val="32"/>
            </w:rPr>
            <w:fldChar w:fldCharType="separate"/>
          </w:r>
          <w:r>
            <w:rPr>
              <w:sz w:val="24"/>
              <w:szCs w:val="32"/>
            </w:rPr>
            <w:t>9</w:t>
          </w:r>
          <w:r>
            <w:rPr>
              <w:sz w:val="24"/>
              <w:szCs w:val="32"/>
            </w:rPr>
            <w:fldChar w:fldCharType="end"/>
          </w:r>
          <w:r>
            <w:rPr>
              <w:sz w:val="24"/>
              <w:szCs w:val="32"/>
            </w:rPr>
            <w:fldChar w:fldCharType="end"/>
          </w:r>
        </w:p>
        <w:p>
          <w:pPr>
            <w:pStyle w:val="12"/>
            <w:tabs>
              <w:tab w:val="right" w:leader="dot" w:pos="8222"/>
            </w:tabs>
            <w:spacing w:line="276" w:lineRule="auto"/>
            <w:rPr>
              <w:rFonts w:asciiTheme="minorHAnsi" w:hAnsiTheme="minorHAnsi" w:eastAsiaTheme="minorEastAsia" w:cstheme="minorBidi"/>
              <w:sz w:val="24"/>
              <w:szCs w:val="28"/>
            </w:rPr>
          </w:pPr>
          <w:r>
            <w:fldChar w:fldCharType="begin"/>
          </w:r>
          <w:r>
            <w:instrText xml:space="preserve"> HYPERLINK \l "_Toc42087775" </w:instrText>
          </w:r>
          <w:r>
            <w:fldChar w:fldCharType="separate"/>
          </w:r>
          <w:r>
            <w:rPr>
              <w:rStyle w:val="33"/>
              <w:sz w:val="24"/>
              <w:szCs w:val="24"/>
            </w:rPr>
            <w:t>3.2.5评价方法</w:t>
          </w:r>
          <w:r>
            <w:rPr>
              <w:sz w:val="24"/>
              <w:szCs w:val="32"/>
            </w:rPr>
            <w:tab/>
          </w:r>
          <w:r>
            <w:rPr>
              <w:sz w:val="24"/>
              <w:szCs w:val="32"/>
            </w:rPr>
            <w:fldChar w:fldCharType="begin"/>
          </w:r>
          <w:r>
            <w:rPr>
              <w:sz w:val="24"/>
              <w:szCs w:val="32"/>
            </w:rPr>
            <w:instrText xml:space="preserve"> PAGEREF _Toc42087775 \h </w:instrText>
          </w:r>
          <w:r>
            <w:rPr>
              <w:sz w:val="24"/>
              <w:szCs w:val="32"/>
            </w:rPr>
            <w:fldChar w:fldCharType="separate"/>
          </w:r>
          <w:r>
            <w:rPr>
              <w:sz w:val="24"/>
              <w:szCs w:val="32"/>
            </w:rPr>
            <w:t>9</w:t>
          </w:r>
          <w:r>
            <w:rPr>
              <w:sz w:val="24"/>
              <w:szCs w:val="32"/>
            </w:rPr>
            <w:fldChar w:fldCharType="end"/>
          </w:r>
          <w:r>
            <w:rPr>
              <w:sz w:val="24"/>
              <w:szCs w:val="32"/>
            </w:rPr>
            <w:fldChar w:fldCharType="end"/>
          </w:r>
        </w:p>
        <w:p>
          <w:pPr>
            <w:pStyle w:val="12"/>
            <w:tabs>
              <w:tab w:val="right" w:leader="dot" w:pos="8222"/>
            </w:tabs>
            <w:spacing w:line="276" w:lineRule="auto"/>
            <w:rPr>
              <w:rFonts w:asciiTheme="minorHAnsi" w:hAnsiTheme="minorHAnsi" w:eastAsiaTheme="minorEastAsia" w:cstheme="minorBidi"/>
              <w:sz w:val="24"/>
              <w:szCs w:val="28"/>
            </w:rPr>
          </w:pPr>
          <w:r>
            <w:fldChar w:fldCharType="begin"/>
          </w:r>
          <w:r>
            <w:instrText xml:space="preserve"> HYPERLINK \l "_Toc42087776" </w:instrText>
          </w:r>
          <w:r>
            <w:fldChar w:fldCharType="separate"/>
          </w:r>
          <w:r>
            <w:rPr>
              <w:rStyle w:val="33"/>
              <w:sz w:val="24"/>
              <w:szCs w:val="24"/>
            </w:rPr>
            <w:t>3.2.6 附录A</w:t>
          </w:r>
          <w:r>
            <w:rPr>
              <w:sz w:val="24"/>
              <w:szCs w:val="32"/>
            </w:rPr>
            <w:tab/>
          </w:r>
          <w:r>
            <w:rPr>
              <w:sz w:val="24"/>
              <w:szCs w:val="32"/>
            </w:rPr>
            <w:fldChar w:fldCharType="begin"/>
          </w:r>
          <w:r>
            <w:rPr>
              <w:sz w:val="24"/>
              <w:szCs w:val="32"/>
            </w:rPr>
            <w:instrText xml:space="preserve"> PAGEREF _Toc42087776 \h </w:instrText>
          </w:r>
          <w:r>
            <w:rPr>
              <w:sz w:val="24"/>
              <w:szCs w:val="32"/>
            </w:rPr>
            <w:fldChar w:fldCharType="separate"/>
          </w:r>
          <w:r>
            <w:rPr>
              <w:sz w:val="24"/>
              <w:szCs w:val="32"/>
            </w:rPr>
            <w:t>9</w:t>
          </w:r>
          <w:r>
            <w:rPr>
              <w:sz w:val="24"/>
              <w:szCs w:val="32"/>
            </w:rPr>
            <w:fldChar w:fldCharType="end"/>
          </w:r>
          <w:r>
            <w:rPr>
              <w:sz w:val="24"/>
              <w:szCs w:val="32"/>
            </w:rPr>
            <w:fldChar w:fldCharType="end"/>
          </w:r>
        </w:p>
        <w:p>
          <w:pPr>
            <w:pStyle w:val="12"/>
            <w:tabs>
              <w:tab w:val="right" w:leader="dot" w:pos="8222"/>
            </w:tabs>
            <w:spacing w:line="276" w:lineRule="auto"/>
            <w:rPr>
              <w:rFonts w:asciiTheme="minorHAnsi" w:hAnsiTheme="minorHAnsi" w:eastAsiaTheme="minorEastAsia" w:cstheme="minorBidi"/>
              <w:sz w:val="24"/>
              <w:szCs w:val="28"/>
            </w:rPr>
          </w:pPr>
          <w:r>
            <w:fldChar w:fldCharType="begin"/>
          </w:r>
          <w:r>
            <w:instrText xml:space="preserve"> HYPERLINK \l "_Toc42087777" </w:instrText>
          </w:r>
          <w:r>
            <w:fldChar w:fldCharType="separate"/>
          </w:r>
          <w:r>
            <w:rPr>
              <w:rStyle w:val="33"/>
              <w:sz w:val="24"/>
              <w:szCs w:val="24"/>
            </w:rPr>
            <w:t>3.2.7 附录B</w:t>
          </w:r>
          <w:r>
            <w:rPr>
              <w:sz w:val="24"/>
              <w:szCs w:val="32"/>
            </w:rPr>
            <w:tab/>
          </w:r>
          <w:r>
            <w:rPr>
              <w:sz w:val="24"/>
              <w:szCs w:val="32"/>
            </w:rPr>
            <w:fldChar w:fldCharType="begin"/>
          </w:r>
          <w:r>
            <w:rPr>
              <w:sz w:val="24"/>
              <w:szCs w:val="32"/>
            </w:rPr>
            <w:instrText xml:space="preserve"> PAGEREF _Toc42087777 \h </w:instrText>
          </w:r>
          <w:r>
            <w:rPr>
              <w:sz w:val="24"/>
              <w:szCs w:val="32"/>
            </w:rPr>
            <w:fldChar w:fldCharType="separate"/>
          </w:r>
          <w:r>
            <w:rPr>
              <w:sz w:val="24"/>
              <w:szCs w:val="32"/>
            </w:rPr>
            <w:t>10</w:t>
          </w:r>
          <w:r>
            <w:rPr>
              <w:sz w:val="24"/>
              <w:szCs w:val="32"/>
            </w:rPr>
            <w:fldChar w:fldCharType="end"/>
          </w:r>
          <w:r>
            <w:rPr>
              <w:sz w:val="24"/>
              <w:szCs w:val="32"/>
            </w:rPr>
            <w:fldChar w:fldCharType="end"/>
          </w:r>
        </w:p>
        <w:p>
          <w:pPr>
            <w:pStyle w:val="12"/>
            <w:tabs>
              <w:tab w:val="right" w:leader="dot" w:pos="8222"/>
            </w:tabs>
            <w:spacing w:line="276" w:lineRule="auto"/>
            <w:rPr>
              <w:rFonts w:asciiTheme="minorHAnsi" w:hAnsiTheme="minorHAnsi" w:eastAsiaTheme="minorEastAsia" w:cstheme="minorBidi"/>
              <w:sz w:val="24"/>
              <w:szCs w:val="28"/>
            </w:rPr>
          </w:pPr>
          <w:r>
            <w:fldChar w:fldCharType="begin"/>
          </w:r>
          <w:r>
            <w:instrText xml:space="preserve"> HYPERLINK \l "_Toc42087778" </w:instrText>
          </w:r>
          <w:r>
            <w:fldChar w:fldCharType="separate"/>
          </w:r>
          <w:r>
            <w:rPr>
              <w:rStyle w:val="33"/>
              <w:sz w:val="24"/>
              <w:szCs w:val="24"/>
            </w:rPr>
            <w:t>3.2.7 附录C</w:t>
          </w:r>
          <w:r>
            <w:rPr>
              <w:sz w:val="24"/>
              <w:szCs w:val="32"/>
            </w:rPr>
            <w:tab/>
          </w:r>
          <w:r>
            <w:rPr>
              <w:sz w:val="24"/>
              <w:szCs w:val="32"/>
            </w:rPr>
            <w:fldChar w:fldCharType="begin"/>
          </w:r>
          <w:r>
            <w:rPr>
              <w:sz w:val="24"/>
              <w:szCs w:val="32"/>
            </w:rPr>
            <w:instrText xml:space="preserve"> PAGEREF _Toc42087778 \h </w:instrText>
          </w:r>
          <w:r>
            <w:rPr>
              <w:sz w:val="24"/>
              <w:szCs w:val="32"/>
            </w:rPr>
            <w:fldChar w:fldCharType="separate"/>
          </w:r>
          <w:r>
            <w:rPr>
              <w:sz w:val="24"/>
              <w:szCs w:val="32"/>
            </w:rPr>
            <w:t>15</w:t>
          </w:r>
          <w:r>
            <w:rPr>
              <w:sz w:val="24"/>
              <w:szCs w:val="32"/>
            </w:rPr>
            <w:fldChar w:fldCharType="end"/>
          </w:r>
          <w:r>
            <w:rPr>
              <w:sz w:val="24"/>
              <w:szCs w:val="32"/>
            </w:rPr>
            <w:fldChar w:fldCharType="end"/>
          </w:r>
        </w:p>
        <w:p>
          <w:pPr>
            <w:pStyle w:val="12"/>
            <w:tabs>
              <w:tab w:val="right" w:leader="dot" w:pos="8222"/>
            </w:tabs>
            <w:spacing w:line="276" w:lineRule="auto"/>
            <w:rPr>
              <w:rFonts w:asciiTheme="minorHAnsi" w:hAnsiTheme="minorHAnsi" w:eastAsiaTheme="minorEastAsia" w:cstheme="minorBidi"/>
              <w:sz w:val="24"/>
              <w:szCs w:val="28"/>
            </w:rPr>
          </w:pPr>
          <w:r>
            <w:fldChar w:fldCharType="begin"/>
          </w:r>
          <w:r>
            <w:instrText xml:space="preserve"> HYPERLINK \l "_Toc42087779" </w:instrText>
          </w:r>
          <w:r>
            <w:fldChar w:fldCharType="separate"/>
          </w:r>
          <w:r>
            <w:rPr>
              <w:rStyle w:val="33"/>
              <w:sz w:val="24"/>
              <w:szCs w:val="24"/>
            </w:rPr>
            <w:t>3.2.8 附录D</w:t>
          </w:r>
          <w:r>
            <w:rPr>
              <w:sz w:val="24"/>
              <w:szCs w:val="32"/>
            </w:rPr>
            <w:tab/>
          </w:r>
          <w:r>
            <w:rPr>
              <w:sz w:val="24"/>
              <w:szCs w:val="32"/>
            </w:rPr>
            <w:fldChar w:fldCharType="begin"/>
          </w:r>
          <w:r>
            <w:rPr>
              <w:sz w:val="24"/>
              <w:szCs w:val="32"/>
            </w:rPr>
            <w:instrText xml:space="preserve"> PAGEREF _Toc42087779 \h </w:instrText>
          </w:r>
          <w:r>
            <w:rPr>
              <w:sz w:val="24"/>
              <w:szCs w:val="32"/>
            </w:rPr>
            <w:fldChar w:fldCharType="separate"/>
          </w:r>
          <w:r>
            <w:rPr>
              <w:sz w:val="24"/>
              <w:szCs w:val="32"/>
            </w:rPr>
            <w:t>15</w:t>
          </w:r>
          <w:r>
            <w:rPr>
              <w:sz w:val="24"/>
              <w:szCs w:val="32"/>
            </w:rPr>
            <w:fldChar w:fldCharType="end"/>
          </w:r>
          <w:r>
            <w:rPr>
              <w:sz w:val="24"/>
              <w:szCs w:val="32"/>
            </w:rPr>
            <w:fldChar w:fldCharType="end"/>
          </w:r>
        </w:p>
        <w:p>
          <w:pPr>
            <w:pStyle w:val="12"/>
            <w:tabs>
              <w:tab w:val="right" w:leader="dot" w:pos="8222"/>
            </w:tabs>
            <w:spacing w:line="276" w:lineRule="auto"/>
            <w:rPr>
              <w:rFonts w:asciiTheme="minorHAnsi" w:hAnsiTheme="minorHAnsi" w:eastAsiaTheme="minorEastAsia" w:cstheme="minorBidi"/>
              <w:sz w:val="24"/>
              <w:szCs w:val="28"/>
            </w:rPr>
          </w:pPr>
          <w:r>
            <w:fldChar w:fldCharType="begin"/>
          </w:r>
          <w:r>
            <w:instrText xml:space="preserve"> HYPERLINK \l "_Toc42087780" </w:instrText>
          </w:r>
          <w:r>
            <w:fldChar w:fldCharType="separate"/>
          </w:r>
          <w:r>
            <w:rPr>
              <w:rStyle w:val="33"/>
              <w:sz w:val="24"/>
              <w:szCs w:val="24"/>
            </w:rPr>
            <w:t>3.2.9 附录E</w:t>
          </w:r>
          <w:r>
            <w:rPr>
              <w:sz w:val="24"/>
              <w:szCs w:val="32"/>
            </w:rPr>
            <w:tab/>
          </w:r>
          <w:r>
            <w:rPr>
              <w:sz w:val="24"/>
              <w:szCs w:val="32"/>
            </w:rPr>
            <w:fldChar w:fldCharType="begin"/>
          </w:r>
          <w:r>
            <w:rPr>
              <w:sz w:val="24"/>
              <w:szCs w:val="32"/>
            </w:rPr>
            <w:instrText xml:space="preserve"> PAGEREF _Toc42087780 \h </w:instrText>
          </w:r>
          <w:r>
            <w:rPr>
              <w:sz w:val="24"/>
              <w:szCs w:val="32"/>
            </w:rPr>
            <w:fldChar w:fldCharType="separate"/>
          </w:r>
          <w:r>
            <w:rPr>
              <w:sz w:val="24"/>
              <w:szCs w:val="32"/>
            </w:rPr>
            <w:t>15</w:t>
          </w:r>
          <w:r>
            <w:rPr>
              <w:sz w:val="24"/>
              <w:szCs w:val="32"/>
            </w:rPr>
            <w:fldChar w:fldCharType="end"/>
          </w:r>
          <w:r>
            <w:rPr>
              <w:sz w:val="24"/>
              <w:szCs w:val="32"/>
            </w:rPr>
            <w:fldChar w:fldCharType="end"/>
          </w:r>
        </w:p>
        <w:p>
          <w:pPr>
            <w:pStyle w:val="19"/>
            <w:tabs>
              <w:tab w:val="right" w:leader="dot" w:pos="8222"/>
            </w:tabs>
            <w:spacing w:before="78" w:after="78" w:line="276" w:lineRule="auto"/>
            <w:rPr>
              <w:rFonts w:asciiTheme="minorHAnsi" w:hAnsiTheme="minorHAnsi" w:eastAsiaTheme="minorEastAsia" w:cstheme="minorBidi"/>
              <w:sz w:val="24"/>
              <w:szCs w:val="28"/>
            </w:rPr>
          </w:pPr>
          <w:r>
            <w:fldChar w:fldCharType="begin"/>
          </w:r>
          <w:r>
            <w:instrText xml:space="preserve"> HYPERLINK \l "_Toc42087781" </w:instrText>
          </w:r>
          <w:r>
            <w:fldChar w:fldCharType="separate"/>
          </w:r>
          <w:r>
            <w:rPr>
              <w:rStyle w:val="33"/>
              <w:sz w:val="24"/>
              <w:szCs w:val="24"/>
            </w:rPr>
            <w:t>四、主要验证情况分析</w:t>
          </w:r>
          <w:r>
            <w:rPr>
              <w:sz w:val="24"/>
              <w:szCs w:val="24"/>
            </w:rPr>
            <w:tab/>
          </w:r>
          <w:r>
            <w:rPr>
              <w:sz w:val="24"/>
              <w:szCs w:val="24"/>
            </w:rPr>
            <w:fldChar w:fldCharType="begin"/>
          </w:r>
          <w:r>
            <w:rPr>
              <w:sz w:val="24"/>
              <w:szCs w:val="24"/>
            </w:rPr>
            <w:instrText xml:space="preserve"> PAGEREF _Toc42087781 \h </w:instrText>
          </w:r>
          <w:r>
            <w:rPr>
              <w:sz w:val="24"/>
              <w:szCs w:val="24"/>
            </w:rPr>
            <w:fldChar w:fldCharType="separate"/>
          </w:r>
          <w:r>
            <w:rPr>
              <w:sz w:val="24"/>
              <w:szCs w:val="24"/>
            </w:rPr>
            <w:t>15</w:t>
          </w:r>
          <w:r>
            <w:rPr>
              <w:sz w:val="24"/>
              <w:szCs w:val="24"/>
            </w:rPr>
            <w:fldChar w:fldCharType="end"/>
          </w:r>
          <w:r>
            <w:rPr>
              <w:sz w:val="24"/>
              <w:szCs w:val="24"/>
            </w:rPr>
            <w:fldChar w:fldCharType="end"/>
          </w:r>
        </w:p>
        <w:p>
          <w:pPr>
            <w:pStyle w:val="19"/>
            <w:tabs>
              <w:tab w:val="right" w:leader="dot" w:pos="8222"/>
            </w:tabs>
            <w:spacing w:before="78" w:after="78" w:line="276" w:lineRule="auto"/>
            <w:rPr>
              <w:rFonts w:asciiTheme="minorHAnsi" w:hAnsiTheme="minorHAnsi" w:eastAsiaTheme="minorEastAsia" w:cstheme="minorBidi"/>
              <w:sz w:val="24"/>
              <w:szCs w:val="28"/>
            </w:rPr>
          </w:pPr>
          <w:r>
            <w:fldChar w:fldCharType="begin"/>
          </w:r>
          <w:r>
            <w:instrText xml:space="preserve"> HYPERLINK \l "_Toc42087782" </w:instrText>
          </w:r>
          <w:r>
            <w:fldChar w:fldCharType="separate"/>
          </w:r>
          <w:r>
            <w:rPr>
              <w:rStyle w:val="33"/>
              <w:sz w:val="24"/>
              <w:szCs w:val="24"/>
            </w:rPr>
            <w:t>五、标准中涉及专利情况</w:t>
          </w:r>
          <w:r>
            <w:rPr>
              <w:sz w:val="24"/>
              <w:szCs w:val="24"/>
            </w:rPr>
            <w:tab/>
          </w:r>
          <w:r>
            <w:rPr>
              <w:sz w:val="24"/>
              <w:szCs w:val="24"/>
            </w:rPr>
            <w:fldChar w:fldCharType="begin"/>
          </w:r>
          <w:r>
            <w:rPr>
              <w:sz w:val="24"/>
              <w:szCs w:val="24"/>
            </w:rPr>
            <w:instrText xml:space="preserve"> PAGEREF _Toc42087782 \h </w:instrText>
          </w:r>
          <w:r>
            <w:rPr>
              <w:sz w:val="24"/>
              <w:szCs w:val="24"/>
            </w:rPr>
            <w:fldChar w:fldCharType="separate"/>
          </w:r>
          <w:r>
            <w:rPr>
              <w:sz w:val="24"/>
              <w:szCs w:val="24"/>
            </w:rPr>
            <w:t>17</w:t>
          </w:r>
          <w:r>
            <w:rPr>
              <w:sz w:val="24"/>
              <w:szCs w:val="24"/>
            </w:rPr>
            <w:fldChar w:fldCharType="end"/>
          </w:r>
          <w:r>
            <w:rPr>
              <w:sz w:val="24"/>
              <w:szCs w:val="24"/>
            </w:rPr>
            <w:fldChar w:fldCharType="end"/>
          </w:r>
        </w:p>
        <w:p>
          <w:pPr>
            <w:pStyle w:val="19"/>
            <w:tabs>
              <w:tab w:val="right" w:leader="dot" w:pos="8222"/>
            </w:tabs>
            <w:spacing w:before="78" w:after="78" w:line="276" w:lineRule="auto"/>
            <w:rPr>
              <w:rFonts w:asciiTheme="minorHAnsi" w:hAnsiTheme="minorHAnsi" w:eastAsiaTheme="minorEastAsia" w:cstheme="minorBidi"/>
              <w:sz w:val="24"/>
              <w:szCs w:val="28"/>
            </w:rPr>
          </w:pPr>
          <w:r>
            <w:fldChar w:fldCharType="begin"/>
          </w:r>
          <w:r>
            <w:instrText xml:space="preserve"> HYPERLINK \l "_Toc42087783" </w:instrText>
          </w:r>
          <w:r>
            <w:fldChar w:fldCharType="separate"/>
          </w:r>
          <w:r>
            <w:rPr>
              <w:rStyle w:val="33"/>
              <w:sz w:val="24"/>
              <w:szCs w:val="24"/>
            </w:rPr>
            <w:t>六、标准实施后预期的经济和社会效益</w:t>
          </w:r>
          <w:r>
            <w:rPr>
              <w:sz w:val="24"/>
              <w:szCs w:val="24"/>
            </w:rPr>
            <w:tab/>
          </w:r>
          <w:r>
            <w:rPr>
              <w:sz w:val="24"/>
              <w:szCs w:val="24"/>
            </w:rPr>
            <w:fldChar w:fldCharType="begin"/>
          </w:r>
          <w:r>
            <w:rPr>
              <w:sz w:val="24"/>
              <w:szCs w:val="24"/>
            </w:rPr>
            <w:instrText xml:space="preserve"> PAGEREF _Toc42087783 \h </w:instrText>
          </w:r>
          <w:r>
            <w:rPr>
              <w:sz w:val="24"/>
              <w:szCs w:val="24"/>
            </w:rPr>
            <w:fldChar w:fldCharType="separate"/>
          </w:r>
          <w:r>
            <w:rPr>
              <w:sz w:val="24"/>
              <w:szCs w:val="24"/>
            </w:rPr>
            <w:t>17</w:t>
          </w:r>
          <w:r>
            <w:rPr>
              <w:sz w:val="24"/>
              <w:szCs w:val="24"/>
            </w:rPr>
            <w:fldChar w:fldCharType="end"/>
          </w:r>
          <w:r>
            <w:rPr>
              <w:sz w:val="24"/>
              <w:szCs w:val="24"/>
            </w:rPr>
            <w:fldChar w:fldCharType="end"/>
          </w:r>
        </w:p>
        <w:p>
          <w:pPr>
            <w:pStyle w:val="19"/>
            <w:tabs>
              <w:tab w:val="right" w:leader="dot" w:pos="8222"/>
            </w:tabs>
            <w:spacing w:before="78" w:after="78" w:line="276" w:lineRule="auto"/>
            <w:rPr>
              <w:rFonts w:asciiTheme="minorHAnsi" w:hAnsiTheme="minorHAnsi" w:eastAsiaTheme="minorEastAsia" w:cstheme="minorBidi"/>
              <w:sz w:val="24"/>
              <w:szCs w:val="28"/>
            </w:rPr>
          </w:pPr>
          <w:r>
            <w:fldChar w:fldCharType="begin"/>
          </w:r>
          <w:r>
            <w:instrText xml:space="preserve"> HYPERLINK \l "_Toc42087784" </w:instrText>
          </w:r>
          <w:r>
            <w:fldChar w:fldCharType="separate"/>
          </w:r>
          <w:r>
            <w:rPr>
              <w:rStyle w:val="33"/>
              <w:sz w:val="24"/>
              <w:szCs w:val="24"/>
            </w:rPr>
            <w:t>七、采用国际标准和国外先进标准情况，与国际、国外同类标准水平的对比情况，国内外关键指标对比分析或与测试的国外样品、样机的相关数据对比情况</w:t>
          </w:r>
          <w:r>
            <w:rPr>
              <w:sz w:val="24"/>
              <w:szCs w:val="24"/>
            </w:rPr>
            <w:tab/>
          </w:r>
          <w:r>
            <w:rPr>
              <w:sz w:val="24"/>
              <w:szCs w:val="24"/>
            </w:rPr>
            <w:fldChar w:fldCharType="begin"/>
          </w:r>
          <w:r>
            <w:rPr>
              <w:sz w:val="24"/>
              <w:szCs w:val="24"/>
            </w:rPr>
            <w:instrText xml:space="preserve"> PAGEREF _Toc42087784 \h </w:instrText>
          </w:r>
          <w:r>
            <w:rPr>
              <w:sz w:val="24"/>
              <w:szCs w:val="24"/>
            </w:rPr>
            <w:fldChar w:fldCharType="separate"/>
          </w:r>
          <w:r>
            <w:rPr>
              <w:sz w:val="24"/>
              <w:szCs w:val="24"/>
            </w:rPr>
            <w:t>17</w:t>
          </w:r>
          <w:r>
            <w:rPr>
              <w:sz w:val="24"/>
              <w:szCs w:val="24"/>
            </w:rPr>
            <w:fldChar w:fldCharType="end"/>
          </w:r>
          <w:r>
            <w:rPr>
              <w:sz w:val="24"/>
              <w:szCs w:val="24"/>
            </w:rPr>
            <w:fldChar w:fldCharType="end"/>
          </w:r>
        </w:p>
        <w:p>
          <w:pPr>
            <w:pStyle w:val="19"/>
            <w:tabs>
              <w:tab w:val="right" w:leader="dot" w:pos="8222"/>
            </w:tabs>
            <w:spacing w:before="78" w:after="78" w:line="276" w:lineRule="auto"/>
            <w:rPr>
              <w:rFonts w:asciiTheme="minorHAnsi" w:hAnsiTheme="minorHAnsi" w:eastAsiaTheme="minorEastAsia" w:cstheme="minorBidi"/>
              <w:sz w:val="24"/>
              <w:szCs w:val="28"/>
            </w:rPr>
          </w:pPr>
          <w:r>
            <w:fldChar w:fldCharType="begin"/>
          </w:r>
          <w:r>
            <w:instrText xml:space="preserve"> HYPERLINK \l "_Toc42087785" </w:instrText>
          </w:r>
          <w:r>
            <w:fldChar w:fldCharType="separate"/>
          </w:r>
          <w:r>
            <w:rPr>
              <w:rStyle w:val="33"/>
              <w:sz w:val="24"/>
              <w:szCs w:val="24"/>
            </w:rPr>
            <w:t>八、与现行相关法律、法规、规章及相关标准，特别是强制性标准的协调性</w:t>
          </w:r>
          <w:r>
            <w:rPr>
              <w:sz w:val="24"/>
              <w:szCs w:val="24"/>
            </w:rPr>
            <w:tab/>
          </w:r>
          <w:r>
            <w:rPr>
              <w:sz w:val="24"/>
              <w:szCs w:val="24"/>
            </w:rPr>
            <w:fldChar w:fldCharType="begin"/>
          </w:r>
          <w:r>
            <w:rPr>
              <w:sz w:val="24"/>
              <w:szCs w:val="24"/>
            </w:rPr>
            <w:instrText xml:space="preserve"> PAGEREF _Toc42087785 \h </w:instrText>
          </w:r>
          <w:r>
            <w:rPr>
              <w:sz w:val="24"/>
              <w:szCs w:val="24"/>
            </w:rPr>
            <w:fldChar w:fldCharType="separate"/>
          </w:r>
          <w:r>
            <w:rPr>
              <w:sz w:val="24"/>
              <w:szCs w:val="24"/>
            </w:rPr>
            <w:t>17</w:t>
          </w:r>
          <w:r>
            <w:rPr>
              <w:sz w:val="24"/>
              <w:szCs w:val="24"/>
            </w:rPr>
            <w:fldChar w:fldCharType="end"/>
          </w:r>
          <w:r>
            <w:rPr>
              <w:sz w:val="24"/>
              <w:szCs w:val="24"/>
            </w:rPr>
            <w:fldChar w:fldCharType="end"/>
          </w:r>
        </w:p>
        <w:p>
          <w:pPr>
            <w:pStyle w:val="19"/>
            <w:tabs>
              <w:tab w:val="right" w:leader="dot" w:pos="8222"/>
            </w:tabs>
            <w:spacing w:before="78" w:after="78" w:line="276" w:lineRule="auto"/>
            <w:rPr>
              <w:rFonts w:asciiTheme="minorHAnsi" w:hAnsiTheme="minorHAnsi" w:eastAsiaTheme="minorEastAsia" w:cstheme="minorBidi"/>
              <w:sz w:val="24"/>
              <w:szCs w:val="28"/>
            </w:rPr>
          </w:pPr>
          <w:r>
            <w:fldChar w:fldCharType="begin"/>
          </w:r>
          <w:r>
            <w:instrText xml:space="preserve"> HYPERLINK \l "_Toc42087786" </w:instrText>
          </w:r>
          <w:r>
            <w:fldChar w:fldCharType="separate"/>
          </w:r>
          <w:r>
            <w:rPr>
              <w:rStyle w:val="33"/>
              <w:sz w:val="24"/>
              <w:szCs w:val="24"/>
            </w:rPr>
            <w:t>九、重大分歧意见的处理经过和依据</w:t>
          </w:r>
          <w:r>
            <w:rPr>
              <w:sz w:val="24"/>
              <w:szCs w:val="24"/>
            </w:rPr>
            <w:tab/>
          </w:r>
          <w:r>
            <w:rPr>
              <w:sz w:val="24"/>
              <w:szCs w:val="24"/>
            </w:rPr>
            <w:fldChar w:fldCharType="begin"/>
          </w:r>
          <w:r>
            <w:rPr>
              <w:sz w:val="24"/>
              <w:szCs w:val="24"/>
            </w:rPr>
            <w:instrText xml:space="preserve"> PAGEREF _Toc42087786 \h </w:instrText>
          </w:r>
          <w:r>
            <w:rPr>
              <w:sz w:val="24"/>
              <w:szCs w:val="24"/>
            </w:rPr>
            <w:fldChar w:fldCharType="separate"/>
          </w:r>
          <w:r>
            <w:rPr>
              <w:sz w:val="24"/>
              <w:szCs w:val="24"/>
            </w:rPr>
            <w:t>17</w:t>
          </w:r>
          <w:r>
            <w:rPr>
              <w:sz w:val="24"/>
              <w:szCs w:val="24"/>
            </w:rPr>
            <w:fldChar w:fldCharType="end"/>
          </w:r>
          <w:r>
            <w:rPr>
              <w:sz w:val="24"/>
              <w:szCs w:val="24"/>
            </w:rPr>
            <w:fldChar w:fldCharType="end"/>
          </w:r>
        </w:p>
        <w:p>
          <w:pPr>
            <w:pStyle w:val="19"/>
            <w:tabs>
              <w:tab w:val="right" w:leader="dot" w:pos="8222"/>
            </w:tabs>
            <w:spacing w:before="78" w:after="78" w:line="276" w:lineRule="auto"/>
            <w:rPr>
              <w:rFonts w:asciiTheme="minorHAnsi" w:hAnsiTheme="minorHAnsi" w:eastAsiaTheme="minorEastAsia" w:cstheme="minorBidi"/>
              <w:sz w:val="24"/>
              <w:szCs w:val="28"/>
            </w:rPr>
          </w:pPr>
          <w:r>
            <w:fldChar w:fldCharType="begin"/>
          </w:r>
          <w:r>
            <w:instrText xml:space="preserve"> HYPERLINK \l "_Toc42087787" </w:instrText>
          </w:r>
          <w:r>
            <w:fldChar w:fldCharType="separate"/>
          </w:r>
          <w:r>
            <w:rPr>
              <w:rStyle w:val="33"/>
              <w:sz w:val="24"/>
              <w:szCs w:val="24"/>
            </w:rPr>
            <w:t>十、标准性质的建议说明</w:t>
          </w:r>
          <w:r>
            <w:rPr>
              <w:sz w:val="24"/>
              <w:szCs w:val="24"/>
            </w:rPr>
            <w:tab/>
          </w:r>
          <w:r>
            <w:rPr>
              <w:sz w:val="24"/>
              <w:szCs w:val="24"/>
            </w:rPr>
            <w:fldChar w:fldCharType="begin"/>
          </w:r>
          <w:r>
            <w:rPr>
              <w:sz w:val="24"/>
              <w:szCs w:val="24"/>
            </w:rPr>
            <w:instrText xml:space="preserve"> PAGEREF _Toc42087787 \h </w:instrText>
          </w:r>
          <w:r>
            <w:rPr>
              <w:sz w:val="24"/>
              <w:szCs w:val="24"/>
            </w:rPr>
            <w:fldChar w:fldCharType="separate"/>
          </w:r>
          <w:r>
            <w:rPr>
              <w:sz w:val="24"/>
              <w:szCs w:val="24"/>
            </w:rPr>
            <w:t>18</w:t>
          </w:r>
          <w:r>
            <w:rPr>
              <w:sz w:val="24"/>
              <w:szCs w:val="24"/>
            </w:rPr>
            <w:fldChar w:fldCharType="end"/>
          </w:r>
          <w:r>
            <w:rPr>
              <w:sz w:val="24"/>
              <w:szCs w:val="24"/>
            </w:rPr>
            <w:fldChar w:fldCharType="end"/>
          </w:r>
        </w:p>
        <w:p>
          <w:pPr>
            <w:pStyle w:val="19"/>
            <w:tabs>
              <w:tab w:val="right" w:leader="dot" w:pos="8222"/>
            </w:tabs>
            <w:spacing w:before="78" w:after="78" w:line="276" w:lineRule="auto"/>
            <w:rPr>
              <w:rFonts w:asciiTheme="minorHAnsi" w:hAnsiTheme="minorHAnsi" w:eastAsiaTheme="minorEastAsia" w:cstheme="minorBidi"/>
              <w:sz w:val="24"/>
              <w:szCs w:val="28"/>
            </w:rPr>
          </w:pPr>
          <w:r>
            <w:fldChar w:fldCharType="begin"/>
          </w:r>
          <w:r>
            <w:instrText xml:space="preserve"> HYPERLINK \l "_Toc42087788" </w:instrText>
          </w:r>
          <w:r>
            <w:fldChar w:fldCharType="separate"/>
          </w:r>
          <w:r>
            <w:rPr>
              <w:rStyle w:val="33"/>
              <w:sz w:val="24"/>
              <w:szCs w:val="24"/>
            </w:rPr>
            <w:t>十一、贯彻标准的要求和措施建议（包括组织措施、技术措施、过度办法、实施日期等）</w:t>
          </w:r>
          <w:r>
            <w:rPr>
              <w:sz w:val="24"/>
              <w:szCs w:val="24"/>
            </w:rPr>
            <w:tab/>
          </w:r>
          <w:r>
            <w:rPr>
              <w:sz w:val="24"/>
              <w:szCs w:val="24"/>
            </w:rPr>
            <w:fldChar w:fldCharType="begin"/>
          </w:r>
          <w:r>
            <w:rPr>
              <w:sz w:val="24"/>
              <w:szCs w:val="24"/>
            </w:rPr>
            <w:instrText xml:space="preserve"> PAGEREF _Toc42087788 \h </w:instrText>
          </w:r>
          <w:r>
            <w:rPr>
              <w:sz w:val="24"/>
              <w:szCs w:val="24"/>
            </w:rPr>
            <w:fldChar w:fldCharType="separate"/>
          </w:r>
          <w:r>
            <w:rPr>
              <w:sz w:val="24"/>
              <w:szCs w:val="24"/>
            </w:rPr>
            <w:t>18</w:t>
          </w:r>
          <w:r>
            <w:rPr>
              <w:sz w:val="24"/>
              <w:szCs w:val="24"/>
            </w:rPr>
            <w:fldChar w:fldCharType="end"/>
          </w:r>
          <w:r>
            <w:rPr>
              <w:sz w:val="24"/>
              <w:szCs w:val="24"/>
            </w:rPr>
            <w:fldChar w:fldCharType="end"/>
          </w:r>
        </w:p>
        <w:p>
          <w:pPr>
            <w:pStyle w:val="19"/>
            <w:tabs>
              <w:tab w:val="right" w:leader="dot" w:pos="8222"/>
            </w:tabs>
            <w:spacing w:before="78" w:after="78" w:line="276" w:lineRule="auto"/>
            <w:rPr>
              <w:rFonts w:asciiTheme="minorHAnsi" w:hAnsiTheme="minorHAnsi" w:eastAsiaTheme="minorEastAsia" w:cstheme="minorBidi"/>
              <w:sz w:val="24"/>
              <w:szCs w:val="28"/>
            </w:rPr>
          </w:pPr>
          <w:r>
            <w:fldChar w:fldCharType="begin"/>
          </w:r>
          <w:r>
            <w:instrText xml:space="preserve"> HYPERLINK \l "_Toc42087789" </w:instrText>
          </w:r>
          <w:r>
            <w:fldChar w:fldCharType="separate"/>
          </w:r>
          <w:r>
            <w:rPr>
              <w:rStyle w:val="33"/>
              <w:sz w:val="24"/>
              <w:szCs w:val="24"/>
            </w:rPr>
            <w:t>十二、废止现行相关标准的建议</w:t>
          </w:r>
          <w:r>
            <w:rPr>
              <w:sz w:val="24"/>
              <w:szCs w:val="24"/>
            </w:rPr>
            <w:tab/>
          </w:r>
          <w:r>
            <w:rPr>
              <w:sz w:val="24"/>
              <w:szCs w:val="24"/>
            </w:rPr>
            <w:fldChar w:fldCharType="begin"/>
          </w:r>
          <w:r>
            <w:rPr>
              <w:sz w:val="24"/>
              <w:szCs w:val="24"/>
            </w:rPr>
            <w:instrText xml:space="preserve"> PAGEREF _Toc42087789 \h </w:instrText>
          </w:r>
          <w:r>
            <w:rPr>
              <w:sz w:val="24"/>
              <w:szCs w:val="24"/>
            </w:rPr>
            <w:fldChar w:fldCharType="separate"/>
          </w:r>
          <w:r>
            <w:rPr>
              <w:sz w:val="24"/>
              <w:szCs w:val="24"/>
            </w:rPr>
            <w:t>18</w:t>
          </w:r>
          <w:r>
            <w:rPr>
              <w:sz w:val="24"/>
              <w:szCs w:val="24"/>
            </w:rPr>
            <w:fldChar w:fldCharType="end"/>
          </w:r>
          <w:r>
            <w:rPr>
              <w:sz w:val="24"/>
              <w:szCs w:val="24"/>
            </w:rPr>
            <w:fldChar w:fldCharType="end"/>
          </w:r>
        </w:p>
        <w:p>
          <w:pPr>
            <w:pStyle w:val="19"/>
            <w:tabs>
              <w:tab w:val="right" w:leader="dot" w:pos="8222"/>
            </w:tabs>
            <w:spacing w:before="78" w:after="78" w:line="276" w:lineRule="auto"/>
            <w:rPr>
              <w:rFonts w:asciiTheme="minorHAnsi" w:hAnsiTheme="minorHAnsi" w:eastAsiaTheme="minorEastAsia" w:cstheme="minorBidi"/>
              <w:sz w:val="24"/>
              <w:szCs w:val="28"/>
            </w:rPr>
          </w:pPr>
          <w:r>
            <w:fldChar w:fldCharType="begin"/>
          </w:r>
          <w:r>
            <w:instrText xml:space="preserve"> HYPERLINK \l "_Toc42087790" </w:instrText>
          </w:r>
          <w:r>
            <w:fldChar w:fldCharType="separate"/>
          </w:r>
          <w:r>
            <w:rPr>
              <w:rStyle w:val="33"/>
              <w:sz w:val="24"/>
              <w:szCs w:val="24"/>
            </w:rPr>
            <w:t>十三、其它应予说明的事项</w:t>
          </w:r>
          <w:r>
            <w:rPr>
              <w:sz w:val="24"/>
              <w:szCs w:val="24"/>
            </w:rPr>
            <w:tab/>
          </w:r>
          <w:r>
            <w:rPr>
              <w:sz w:val="24"/>
              <w:szCs w:val="24"/>
            </w:rPr>
            <w:fldChar w:fldCharType="begin"/>
          </w:r>
          <w:r>
            <w:rPr>
              <w:sz w:val="24"/>
              <w:szCs w:val="24"/>
            </w:rPr>
            <w:instrText xml:space="preserve"> PAGEREF _Toc42087790 \h </w:instrText>
          </w:r>
          <w:r>
            <w:rPr>
              <w:sz w:val="24"/>
              <w:szCs w:val="24"/>
            </w:rPr>
            <w:fldChar w:fldCharType="separate"/>
          </w:r>
          <w:r>
            <w:rPr>
              <w:sz w:val="24"/>
              <w:szCs w:val="24"/>
            </w:rPr>
            <w:t>18</w:t>
          </w:r>
          <w:r>
            <w:rPr>
              <w:sz w:val="24"/>
              <w:szCs w:val="24"/>
            </w:rPr>
            <w:fldChar w:fldCharType="end"/>
          </w:r>
          <w:r>
            <w:rPr>
              <w:sz w:val="24"/>
              <w:szCs w:val="24"/>
            </w:rPr>
            <w:fldChar w:fldCharType="end"/>
          </w:r>
        </w:p>
        <w:p>
          <w:pPr>
            <w:tabs>
              <w:tab w:val="right" w:leader="dot" w:pos="8222"/>
            </w:tabs>
            <w:spacing w:line="276" w:lineRule="auto"/>
            <w:rPr>
              <w:sz w:val="24"/>
              <w:szCs w:val="32"/>
            </w:rPr>
          </w:pPr>
          <w:r>
            <w:rPr>
              <w:b/>
              <w:bCs/>
              <w:sz w:val="24"/>
              <w:szCs w:val="32"/>
              <w:lang w:val="zh-CN"/>
            </w:rPr>
            <w:fldChar w:fldCharType="end"/>
          </w:r>
        </w:p>
      </w:sdtContent>
    </w:sdt>
    <w:p>
      <w:pPr>
        <w:pStyle w:val="42"/>
        <w:topLinePunct/>
        <w:snapToGrid/>
        <w:spacing w:beforeLines="0" w:afterLines="0" w:line="276" w:lineRule="auto"/>
        <w:jc w:val="both"/>
        <w:rPr>
          <w:rFonts w:ascii="Times New Roman" w:hAnsi="Times New Roman"/>
          <w:kern w:val="10"/>
          <w:sz w:val="40"/>
          <w:szCs w:val="22"/>
        </w:rPr>
        <w:sectPr>
          <w:footerReference r:id="rId8" w:type="default"/>
          <w:pgSz w:w="11906" w:h="16838"/>
          <w:pgMar w:top="1440" w:right="1800" w:bottom="1440" w:left="1800" w:header="737" w:footer="737" w:gutter="0"/>
          <w:pgNumType w:fmt="lowerRoman" w:start="1"/>
          <w:cols w:space="720" w:num="1"/>
          <w:formProt w:val="0"/>
          <w:docGrid w:type="lines" w:linePitch="312" w:charSpace="0"/>
        </w:sectPr>
      </w:pPr>
    </w:p>
    <w:p>
      <w:pPr>
        <w:pStyle w:val="39"/>
        <w:spacing w:before="156" w:after="156" w:line="276" w:lineRule="auto"/>
        <w:rPr>
          <w:sz w:val="32"/>
          <w:szCs w:val="52"/>
        </w:rPr>
      </w:pPr>
      <w:bookmarkStart w:id="2" w:name="_Toc371511493"/>
      <w:bookmarkStart w:id="3" w:name="_Toc42087764"/>
      <w:bookmarkStart w:id="4" w:name="_Toc36132040"/>
      <w:r>
        <w:rPr>
          <w:color w:val="000000"/>
          <w:sz w:val="32"/>
          <w:szCs w:val="24"/>
        </w:rPr>
        <w:t>一、</w:t>
      </w:r>
      <w:r>
        <w:rPr>
          <w:sz w:val="32"/>
          <w:szCs w:val="52"/>
        </w:rPr>
        <w:t>任务来源及编制背景</w:t>
      </w:r>
      <w:bookmarkEnd w:id="2"/>
      <w:bookmarkEnd w:id="3"/>
      <w:bookmarkEnd w:id="4"/>
    </w:p>
    <w:p>
      <w:pPr>
        <w:pStyle w:val="41"/>
        <w:spacing w:before="156" w:after="156" w:line="276" w:lineRule="auto"/>
        <w:rPr>
          <w:rFonts w:ascii="Times New Roman" w:hAnsi="Times New Roman" w:cs="Times New Roman"/>
          <w:sz w:val="24"/>
          <w:szCs w:val="40"/>
        </w:rPr>
      </w:pPr>
      <w:bookmarkStart w:id="5" w:name="_Toc222553786"/>
      <w:bookmarkStart w:id="6" w:name="_Toc242585740"/>
      <w:bookmarkStart w:id="7" w:name="_Toc42087765"/>
      <w:bookmarkStart w:id="8" w:name="_Toc371511494"/>
      <w:bookmarkStart w:id="9" w:name="_Toc36132041"/>
      <w:r>
        <w:rPr>
          <w:rFonts w:ascii="Times New Roman" w:hAnsi="Times New Roman" w:cs="Times New Roman"/>
          <w:sz w:val="24"/>
          <w:szCs w:val="40"/>
        </w:rPr>
        <w:t>1.1任务来源</w:t>
      </w:r>
      <w:bookmarkEnd w:id="5"/>
      <w:bookmarkEnd w:id="6"/>
      <w:bookmarkEnd w:id="7"/>
      <w:bookmarkEnd w:id="8"/>
      <w:bookmarkEnd w:id="9"/>
    </w:p>
    <w:p>
      <w:pPr>
        <w:topLinePunct/>
        <w:spacing w:line="276" w:lineRule="auto"/>
        <w:ind w:firstLine="480" w:firstLineChars="200"/>
        <w:rPr>
          <w:sz w:val="24"/>
          <w:szCs w:val="32"/>
        </w:rPr>
      </w:pPr>
      <w:r>
        <w:rPr>
          <w:sz w:val="24"/>
          <w:szCs w:val="32"/>
        </w:rPr>
        <w:t>为更好的贯彻落实《中国制造2025》，加快实施绿色制造工程，构建绿色制造体系，结合《工业和信息化部办公厅关于开展绿色制造体系建设的通知》（工信厅节函〔2016〕586号）要求，在“十三五”期间，以化工、特色轻工、有色、装备制造、建材、纺织、新能源、医药、电子信息行业为重点领域，推广应用绿色制造技术，提升绿色制造水平，构建化工产业绿色制造体系。</w:t>
      </w:r>
    </w:p>
    <w:p>
      <w:pPr>
        <w:topLinePunct/>
        <w:spacing w:line="276" w:lineRule="auto"/>
        <w:ind w:firstLine="480" w:firstLineChars="200"/>
        <w:rPr>
          <w:sz w:val="24"/>
          <w:szCs w:val="32"/>
        </w:rPr>
      </w:pPr>
      <w:r>
        <w:rPr>
          <w:rFonts w:hint="eastAsia"/>
          <w:sz w:val="24"/>
          <w:szCs w:val="32"/>
        </w:rPr>
        <w:t>根据《</w:t>
      </w:r>
      <w:r>
        <w:rPr>
          <w:rFonts w:hint="eastAsia"/>
          <w:sz w:val="24"/>
          <w:szCs w:val="32"/>
          <w:lang w:val="en-US" w:eastAsia="zh-CN"/>
        </w:rPr>
        <w:t>关于下达2021年第五批协会标准制定计划的通知</w:t>
      </w:r>
      <w:r>
        <w:rPr>
          <w:sz w:val="24"/>
          <w:szCs w:val="32"/>
        </w:rPr>
        <w:t>》（</w:t>
      </w:r>
      <w:r>
        <w:rPr>
          <w:rFonts w:hint="eastAsia"/>
          <w:sz w:val="24"/>
          <w:szCs w:val="32"/>
          <w:lang w:val="en-US" w:eastAsia="zh-CN"/>
        </w:rPr>
        <w:t>中建材联标发[2021]104号</w:t>
      </w:r>
      <w:r>
        <w:rPr>
          <w:sz w:val="24"/>
          <w:szCs w:val="32"/>
        </w:rPr>
        <w:t>）</w:t>
      </w:r>
      <w:r>
        <w:rPr>
          <w:rFonts w:hint="eastAsia"/>
          <w:sz w:val="24"/>
          <w:szCs w:val="32"/>
        </w:rPr>
        <w:t xml:space="preserve">，《绿色设计产品评价技术规范 </w:t>
      </w:r>
      <w:r>
        <w:rPr>
          <w:rFonts w:hint="eastAsia"/>
          <w:sz w:val="24"/>
          <w:szCs w:val="32"/>
          <w:lang w:eastAsia="zh-CN"/>
        </w:rPr>
        <w:t>石灰</w:t>
      </w:r>
      <w:r>
        <w:rPr>
          <w:rFonts w:hint="eastAsia"/>
          <w:sz w:val="24"/>
          <w:szCs w:val="32"/>
        </w:rPr>
        <w:t>》（</w:t>
      </w:r>
      <w:r>
        <w:rPr>
          <w:sz w:val="24"/>
          <w:szCs w:val="32"/>
        </w:rPr>
        <w:t>20</w:t>
      </w:r>
      <w:r>
        <w:rPr>
          <w:rFonts w:hint="eastAsia"/>
          <w:sz w:val="24"/>
          <w:szCs w:val="32"/>
          <w:lang w:val="en-US" w:eastAsia="zh-CN"/>
        </w:rPr>
        <w:t>21</w:t>
      </w:r>
      <w:r>
        <w:rPr>
          <w:sz w:val="24"/>
          <w:szCs w:val="32"/>
        </w:rPr>
        <w:t>-</w:t>
      </w:r>
      <w:r>
        <w:rPr>
          <w:rFonts w:hint="eastAsia"/>
          <w:sz w:val="24"/>
          <w:szCs w:val="32"/>
          <w:lang w:val="en-US" w:eastAsia="zh-CN"/>
        </w:rPr>
        <w:t>49</w:t>
      </w:r>
      <w:r>
        <w:rPr>
          <w:sz w:val="24"/>
          <w:szCs w:val="32"/>
        </w:rPr>
        <w:t>-</w:t>
      </w:r>
      <w:r>
        <w:rPr>
          <w:rFonts w:hint="eastAsia"/>
          <w:sz w:val="24"/>
          <w:szCs w:val="32"/>
          <w:lang w:val="en-US" w:eastAsia="zh-CN"/>
        </w:rPr>
        <w:t>xbjh</w:t>
      </w:r>
      <w:r>
        <w:rPr>
          <w:sz w:val="24"/>
          <w:szCs w:val="32"/>
        </w:rPr>
        <w:t>）</w:t>
      </w:r>
      <w:r>
        <w:rPr>
          <w:rFonts w:hint="eastAsia"/>
          <w:sz w:val="24"/>
          <w:szCs w:val="32"/>
        </w:rPr>
        <w:t>作为</w:t>
      </w:r>
      <w:r>
        <w:rPr>
          <w:rFonts w:hint="eastAsia"/>
          <w:sz w:val="24"/>
          <w:szCs w:val="32"/>
          <w:lang w:val="en-US" w:eastAsia="zh-CN"/>
        </w:rPr>
        <w:t>团体</w:t>
      </w:r>
      <w:r>
        <w:rPr>
          <w:rFonts w:hint="eastAsia"/>
          <w:sz w:val="24"/>
          <w:szCs w:val="32"/>
        </w:rPr>
        <w:t>标准立项，完成年限20</w:t>
      </w:r>
      <w:r>
        <w:rPr>
          <w:sz w:val="24"/>
          <w:szCs w:val="32"/>
        </w:rPr>
        <w:t>2</w:t>
      </w:r>
      <w:r>
        <w:rPr>
          <w:rFonts w:hint="eastAsia"/>
          <w:sz w:val="24"/>
          <w:szCs w:val="32"/>
          <w:lang w:val="en-US" w:eastAsia="zh-CN"/>
        </w:rPr>
        <w:t>2</w:t>
      </w:r>
      <w:r>
        <w:rPr>
          <w:rFonts w:hint="eastAsia"/>
          <w:sz w:val="24"/>
          <w:szCs w:val="32"/>
        </w:rPr>
        <w:t>年。由</w:t>
      </w:r>
      <w:r>
        <w:rPr>
          <w:rFonts w:hint="eastAsia"/>
          <w:sz w:val="24"/>
          <w:szCs w:val="32"/>
          <w:lang w:val="en-US" w:eastAsia="zh-CN"/>
        </w:rPr>
        <w:t>中国建筑材料联合会提出并</w:t>
      </w:r>
      <w:r>
        <w:rPr>
          <w:rFonts w:hint="eastAsia"/>
          <w:sz w:val="24"/>
          <w:szCs w:val="32"/>
        </w:rPr>
        <w:t>归口，编制工作由北京国建联信认证中心有限公司</w:t>
      </w:r>
      <w:r>
        <w:rPr>
          <w:rFonts w:hint="eastAsia"/>
          <w:sz w:val="24"/>
          <w:szCs w:val="32"/>
          <w:lang w:eastAsia="zh-CN"/>
        </w:rPr>
        <w:t>、</w:t>
      </w:r>
      <w:r>
        <w:rPr>
          <w:rFonts w:hint="eastAsia"/>
          <w:sz w:val="24"/>
          <w:szCs w:val="32"/>
          <w:lang w:val="en-US" w:eastAsia="zh-CN"/>
        </w:rPr>
        <w:t>中国石灰协会</w:t>
      </w:r>
      <w:r>
        <w:rPr>
          <w:rFonts w:hint="eastAsia"/>
          <w:sz w:val="24"/>
          <w:szCs w:val="32"/>
        </w:rPr>
        <w:t>等单位</w:t>
      </w:r>
      <w:r>
        <w:rPr>
          <w:rFonts w:hint="eastAsia"/>
          <w:sz w:val="24"/>
          <w:szCs w:val="32"/>
          <w:lang w:val="en-US" w:eastAsia="zh-CN"/>
        </w:rPr>
        <w:t>牵头</w:t>
      </w:r>
      <w:r>
        <w:rPr>
          <w:rFonts w:hint="eastAsia"/>
          <w:sz w:val="24"/>
          <w:szCs w:val="32"/>
        </w:rPr>
        <w:t>。</w:t>
      </w:r>
    </w:p>
    <w:p>
      <w:pPr>
        <w:pStyle w:val="43"/>
        <w:spacing w:line="276" w:lineRule="auto"/>
        <w:rPr>
          <w:rFonts w:ascii="Times New Roman" w:hAnsi="Times New Roman" w:cs="Times New Roman"/>
          <w:sz w:val="32"/>
          <w:szCs w:val="32"/>
        </w:rPr>
      </w:pPr>
    </w:p>
    <w:p>
      <w:pPr>
        <w:pStyle w:val="41"/>
        <w:spacing w:before="156" w:after="156" w:line="276" w:lineRule="auto"/>
        <w:rPr>
          <w:rFonts w:ascii="Times New Roman" w:hAnsi="Times New Roman" w:cs="Times New Roman"/>
          <w:sz w:val="24"/>
          <w:szCs w:val="40"/>
        </w:rPr>
      </w:pPr>
      <w:bookmarkStart w:id="10" w:name="_Toc36132042"/>
      <w:bookmarkStart w:id="11" w:name="_Toc42087766"/>
      <w:r>
        <w:rPr>
          <w:rFonts w:ascii="Times New Roman" w:hAnsi="Times New Roman" w:cs="Times New Roman"/>
          <w:sz w:val="24"/>
          <w:szCs w:val="40"/>
        </w:rPr>
        <w:t>1.2 背景和意义</w:t>
      </w:r>
      <w:bookmarkEnd w:id="10"/>
      <w:bookmarkEnd w:id="11"/>
    </w:p>
    <w:p>
      <w:pPr>
        <w:spacing w:line="276" w:lineRule="auto"/>
        <w:ind w:firstLine="480" w:firstLineChars="200"/>
        <w:rPr>
          <w:sz w:val="24"/>
          <w:szCs w:val="32"/>
        </w:rPr>
      </w:pPr>
      <w:r>
        <w:rPr>
          <w:rFonts w:hint="eastAsia"/>
          <w:sz w:val="24"/>
          <w:szCs w:val="32"/>
        </w:rPr>
        <w:t>随着我国经济建设的调整发展，特别是城市化进程的加快，资源能源消耗加剧，建筑能耗持续攀升，环境污染和生态破坏日益严重，引起了国家的高度关注。党的十八大报告提出“大力推进生态文明建设”，牢固树立创新、协调、绿色、开放、共享的发展理念是应对我国能源生态严峻形势的政策指南。《中国制造</w:t>
      </w:r>
      <w:r>
        <w:rPr>
          <w:sz w:val="24"/>
          <w:szCs w:val="32"/>
        </w:rPr>
        <w:t>2025</w:t>
      </w:r>
      <w:r>
        <w:rPr>
          <w:rFonts w:hint="eastAsia"/>
          <w:sz w:val="24"/>
          <w:szCs w:val="32"/>
        </w:rPr>
        <w:t>》、《绿色制造工程实施指南（</w:t>
      </w:r>
      <w:r>
        <w:rPr>
          <w:sz w:val="24"/>
          <w:szCs w:val="32"/>
        </w:rPr>
        <w:t>2016</w:t>
      </w:r>
      <w:r>
        <w:rPr>
          <w:rFonts w:hint="eastAsia"/>
          <w:sz w:val="24"/>
          <w:szCs w:val="32"/>
        </w:rPr>
        <w:t>-</w:t>
      </w:r>
      <w:r>
        <w:rPr>
          <w:sz w:val="24"/>
          <w:szCs w:val="32"/>
        </w:rPr>
        <w:t>2020</w:t>
      </w:r>
      <w:r>
        <w:rPr>
          <w:rFonts w:hint="eastAsia"/>
          <w:sz w:val="24"/>
          <w:szCs w:val="32"/>
        </w:rPr>
        <w:t>年）》，提出</w:t>
      </w:r>
      <w:r>
        <w:rPr>
          <w:sz w:val="24"/>
          <w:szCs w:val="32"/>
        </w:rPr>
        <w:t>坚持“创新驱动、质量为先、绿色发展、结构优化、人才为本”的基本方针</w:t>
      </w:r>
      <w:r>
        <w:rPr>
          <w:rFonts w:hint="eastAsia"/>
          <w:sz w:val="24"/>
          <w:szCs w:val="32"/>
        </w:rPr>
        <w:t>。2015年，习近平总书记提出了“供给侧结构性改革”重大目标，要求用改革的办法推进结构调整，矫正资源配置扭曲，扩大有效供给，提高全要素生产率，促进经济社会持续、健康发展。而大力发展绿色产品，促进消费模式转变，正是供给侧改革的关键。</w:t>
      </w:r>
    </w:p>
    <w:p>
      <w:pPr>
        <w:spacing w:line="276" w:lineRule="auto"/>
        <w:ind w:firstLine="480" w:firstLineChars="200"/>
        <w:rPr>
          <w:sz w:val="24"/>
          <w:szCs w:val="32"/>
        </w:rPr>
      </w:pPr>
      <w:r>
        <w:rPr>
          <w:rFonts w:hint="eastAsia"/>
          <w:sz w:val="24"/>
          <w:szCs w:val="32"/>
        </w:rPr>
        <w:t>因此，为落实供给侧结构性改革要求，以促进全产业链和产品全生命周期绿色发展为目的，工信部开展了以企业为建设主体，以公开透明的第三方评价机制和标准体系为基础，以绿色工厂、绿色产品、绿色园区、绿色供应链为的主要内容的绿色制造体系建设工作。工信部提出要全面统筹推进绿色制造体系建设，到</w:t>
      </w:r>
      <w:r>
        <w:rPr>
          <w:sz w:val="24"/>
          <w:szCs w:val="32"/>
        </w:rPr>
        <w:t>2020</w:t>
      </w:r>
      <w:r>
        <w:rPr>
          <w:rFonts w:hint="eastAsia"/>
          <w:sz w:val="24"/>
          <w:szCs w:val="32"/>
        </w:rPr>
        <w:t>年，绿色制造体系初步建立，绿色制造相关标准体系和评价体系基本建成，在重点行业出台</w:t>
      </w:r>
      <w:r>
        <w:rPr>
          <w:sz w:val="24"/>
          <w:szCs w:val="32"/>
        </w:rPr>
        <w:t>100</w:t>
      </w:r>
      <w:r>
        <w:rPr>
          <w:rFonts w:hint="eastAsia"/>
          <w:sz w:val="24"/>
          <w:szCs w:val="32"/>
        </w:rPr>
        <w:t>项绿色设计产品评价标准的建设目标。</w:t>
      </w:r>
    </w:p>
    <w:p>
      <w:pPr>
        <w:spacing w:line="276" w:lineRule="auto"/>
        <w:ind w:firstLine="480" w:firstLineChars="200"/>
        <w:rPr>
          <w:rFonts w:hint="eastAsia"/>
          <w:sz w:val="24"/>
          <w:szCs w:val="32"/>
        </w:rPr>
      </w:pPr>
      <w:r>
        <w:rPr>
          <w:rFonts w:hint="eastAsia"/>
          <w:sz w:val="24"/>
          <w:szCs w:val="32"/>
        </w:rPr>
        <w:t>石灰产业在国民经济中的有着重要的地位，石灰是国民经济建设的重要基础原材料，目前国内外尚无一种材料可以替代它的地位。随着我国经济的高速发展，石灰在国民经济中的作用越来越大。作为国民经济的重要基础产业，石灰工业已经成为国民经济社会发展水平和综合实力的重要标志。改革开放以来，国内经济建设规模不断扩大，推动国内石灰行业快速发展。石灰产量的迅速增长，从数量上已经基本满足我国大规模经济建设的需要。石灰是一种以氧化钙为主要成分的气硬性无机胶凝材料，用石灰石、白云石、贝壳等碳酸钙含量高的原料，经900~1100℃煅烧而成。石灰作为一种廉价的碱性氧化物，主要用途分为两类：一是建筑用石灰；二是工业用石灰。建筑石灰的要求不是很高，用量相对不是很多；工业用石灰由于对石灰的质量要求较高，多采用工艺先进的机械化环保立窑。2019年我国石灰的产量约为2.7亿，占世界总产量的70.75%。</w:t>
      </w:r>
    </w:p>
    <w:p>
      <w:pPr>
        <w:spacing w:line="276" w:lineRule="auto"/>
        <w:ind w:firstLine="480" w:firstLineChars="200"/>
        <w:rPr>
          <w:rFonts w:hint="eastAsia"/>
          <w:sz w:val="24"/>
          <w:szCs w:val="32"/>
        </w:rPr>
      </w:pPr>
      <w:r>
        <w:rPr>
          <w:rFonts w:hint="eastAsia"/>
          <w:sz w:val="24"/>
          <w:szCs w:val="32"/>
        </w:rPr>
        <w:t>我国石灰生产的规模年产能小于10万吨的企业有4000多家，占行业企业数量的87%；年产能大于10万吨的企业数量为500家，占行业企业数量的13%；行业中的小企业较多，产能分散。石灰生产采用先进技术窑型的产能占比为28%；落后技术产能占比44%；落后技术产能占比较大，行业技术进步的空间较大。随着我国工业用石灰需求量的逐年扩大，机械化石灰窑的数量逐年增加。</w:t>
      </w:r>
    </w:p>
    <w:p>
      <w:pPr>
        <w:spacing w:line="276" w:lineRule="auto"/>
        <w:ind w:firstLine="480" w:firstLineChars="200"/>
        <w:rPr>
          <w:rFonts w:hint="eastAsia"/>
          <w:sz w:val="24"/>
          <w:szCs w:val="32"/>
        </w:rPr>
      </w:pPr>
      <w:r>
        <w:rPr>
          <w:rFonts w:hint="eastAsia"/>
          <w:sz w:val="24"/>
          <w:szCs w:val="32"/>
        </w:rPr>
        <w:t>我国石灰竖窑的技术日趋成熟，石灰行业技术结构调整取得了一定成效，但还有很大的进步空间。石灰已经从传统建筑材料应用为主转为以工业基础原料应用为主。随着产业技术结构的变化和装备水平的提高，大型机械化石灰窑由于自动化水平高、物料粒径合理、原燃料配比合理，所以其单位产品烧成煤耗有较大幅度的下降。石灰技术结构在国家节能减排的政策压力下，将发生显著变化，先进技术石灰产能产量将增长较快，落后技术石灰产能将逐步退出市场。先进石灰窑生产线建设，改造已建石灰窑生产线，加强石灰窑窑体保温措施，减少能源消耗，同时改造电机动力设备，采用高效节能、变频技术电机等降低能耗，通过技术改造降低石灰行业能耗水平。</w:t>
      </w:r>
    </w:p>
    <w:p>
      <w:pPr>
        <w:spacing w:line="276" w:lineRule="auto"/>
        <w:ind w:firstLine="480" w:firstLineChars="200"/>
        <w:rPr>
          <w:sz w:val="24"/>
          <w:szCs w:val="32"/>
        </w:rPr>
      </w:pPr>
      <w:r>
        <w:rPr>
          <w:sz w:val="24"/>
          <w:szCs w:val="32"/>
        </w:rPr>
        <w:t xml:space="preserve">《绿色设计产品评价技术规范  </w:t>
      </w:r>
      <w:r>
        <w:rPr>
          <w:rFonts w:hint="eastAsia"/>
          <w:sz w:val="24"/>
          <w:szCs w:val="32"/>
          <w:lang w:eastAsia="zh-CN"/>
        </w:rPr>
        <w:t>石灰</w:t>
      </w:r>
      <w:r>
        <w:rPr>
          <w:sz w:val="24"/>
          <w:szCs w:val="32"/>
        </w:rPr>
        <w:t>》旨在依据《生态设计产品评价通则》（GB/T 32611），采用产品全生命周期绿色管理理念，重点从资源、能源、环境和产品品质四个方面选取表征</w:t>
      </w:r>
      <w:r>
        <w:rPr>
          <w:rFonts w:hint="eastAsia"/>
          <w:sz w:val="24"/>
          <w:szCs w:val="32"/>
          <w:lang w:eastAsia="zh-CN"/>
        </w:rPr>
        <w:t>石灰</w:t>
      </w:r>
      <w:r>
        <w:rPr>
          <w:sz w:val="24"/>
          <w:szCs w:val="32"/>
        </w:rPr>
        <w:t>产品全生命周期绿色程度的评价指标，并规定其生命周期评价报告编制方法，具有以下作用和意义：</w:t>
      </w:r>
    </w:p>
    <w:p>
      <w:pPr>
        <w:spacing w:line="276" w:lineRule="auto"/>
        <w:ind w:firstLine="480" w:firstLineChars="200"/>
        <w:rPr>
          <w:sz w:val="24"/>
          <w:szCs w:val="32"/>
        </w:rPr>
      </w:pPr>
      <w:r>
        <w:rPr>
          <w:sz w:val="24"/>
          <w:szCs w:val="32"/>
        </w:rPr>
        <w:t>（1）目前，我国尚无针对</w:t>
      </w:r>
      <w:r>
        <w:rPr>
          <w:rFonts w:hint="eastAsia"/>
          <w:sz w:val="24"/>
          <w:szCs w:val="32"/>
          <w:lang w:eastAsia="zh-CN"/>
        </w:rPr>
        <w:t>石灰</w:t>
      </w:r>
      <w:r>
        <w:rPr>
          <w:sz w:val="24"/>
          <w:szCs w:val="32"/>
        </w:rPr>
        <w:t>产品的绿色设计产品评价技术规范，绿色</w:t>
      </w:r>
      <w:r>
        <w:rPr>
          <w:rFonts w:hint="eastAsia"/>
          <w:sz w:val="24"/>
          <w:szCs w:val="32"/>
          <w:lang w:eastAsia="zh-CN"/>
        </w:rPr>
        <w:t>石灰</w:t>
      </w:r>
      <w:r>
        <w:rPr>
          <w:sz w:val="24"/>
          <w:szCs w:val="32"/>
        </w:rPr>
        <w:t>产品缺乏统一的定义和标准。本标准的制定，将统一我国绿色</w:t>
      </w:r>
      <w:r>
        <w:rPr>
          <w:rFonts w:hint="eastAsia"/>
          <w:sz w:val="24"/>
          <w:szCs w:val="32"/>
          <w:lang w:eastAsia="zh-CN"/>
        </w:rPr>
        <w:t>石灰</w:t>
      </w:r>
      <w:r>
        <w:rPr>
          <w:sz w:val="24"/>
          <w:szCs w:val="32"/>
        </w:rPr>
        <w:t>产品的定义和指标体系要求；</w:t>
      </w:r>
    </w:p>
    <w:p>
      <w:pPr>
        <w:spacing w:line="276" w:lineRule="auto"/>
        <w:ind w:firstLine="480" w:firstLineChars="200"/>
        <w:rPr>
          <w:sz w:val="24"/>
          <w:szCs w:val="32"/>
        </w:rPr>
      </w:pPr>
      <w:r>
        <w:rPr>
          <w:sz w:val="24"/>
          <w:szCs w:val="32"/>
        </w:rPr>
        <w:t>（2）本标准为开展</w:t>
      </w:r>
      <w:r>
        <w:rPr>
          <w:rFonts w:hint="eastAsia"/>
          <w:sz w:val="24"/>
          <w:szCs w:val="32"/>
          <w:lang w:eastAsia="zh-CN"/>
        </w:rPr>
        <w:t>石灰</w:t>
      </w:r>
      <w:r>
        <w:rPr>
          <w:sz w:val="24"/>
          <w:szCs w:val="32"/>
        </w:rPr>
        <w:t>的绿色设计产品评价提供了技术依据，将</w:t>
      </w:r>
      <w:r>
        <w:rPr>
          <w:rFonts w:hint="eastAsia"/>
          <w:sz w:val="24"/>
          <w:szCs w:val="32"/>
          <w:lang w:eastAsia="zh-CN"/>
        </w:rPr>
        <w:t>石灰</w:t>
      </w:r>
      <w:r>
        <w:rPr>
          <w:sz w:val="24"/>
          <w:szCs w:val="32"/>
        </w:rPr>
        <w:t>产品纳入了绿色设计产品评价范围，扩充了绿色建材产品目录，为预拌混凝土、预拌砂浆等下游产品提供了绿色原材料，将推动我国绿色建材产品的生产和应用，有力地支撑《促进绿色建材生产和应用行动方案》所提出的行动目标的实现；</w:t>
      </w:r>
    </w:p>
    <w:p>
      <w:pPr>
        <w:spacing w:line="276" w:lineRule="auto"/>
        <w:ind w:firstLine="480" w:firstLineChars="200"/>
        <w:rPr>
          <w:sz w:val="24"/>
          <w:szCs w:val="32"/>
        </w:rPr>
      </w:pPr>
      <w:r>
        <w:rPr>
          <w:sz w:val="24"/>
          <w:szCs w:val="32"/>
        </w:rPr>
        <w:t>（3）通过开展</w:t>
      </w:r>
      <w:r>
        <w:rPr>
          <w:rFonts w:hint="eastAsia"/>
          <w:sz w:val="24"/>
          <w:szCs w:val="32"/>
          <w:lang w:eastAsia="zh-CN"/>
        </w:rPr>
        <w:t>石灰</w:t>
      </w:r>
      <w:r>
        <w:rPr>
          <w:sz w:val="24"/>
          <w:szCs w:val="32"/>
        </w:rPr>
        <w:t>绿色设计产品的评价工作，将促使科研院所、生产企业在产品设计开发阶段系统考虑原材料选用、生产、销售、使用、回收、处理等各个环节对资源环境造成的影响，从而显著降低产品能耗物耗、污染物和温室气体排放，助力于《绿色制造工程实施指南(2016-2020年)》所提出的绿色制造目标的实现。</w:t>
      </w:r>
    </w:p>
    <w:p>
      <w:pPr>
        <w:spacing w:line="276" w:lineRule="auto"/>
        <w:rPr>
          <w:sz w:val="24"/>
          <w:szCs w:val="32"/>
        </w:rPr>
      </w:pPr>
    </w:p>
    <w:p>
      <w:pPr>
        <w:pStyle w:val="39"/>
        <w:spacing w:before="156" w:after="156" w:line="276" w:lineRule="auto"/>
        <w:rPr>
          <w:sz w:val="32"/>
          <w:szCs w:val="52"/>
        </w:rPr>
      </w:pPr>
      <w:bookmarkStart w:id="12" w:name="_Toc36132043"/>
      <w:bookmarkStart w:id="13" w:name="_Toc42087767"/>
      <w:r>
        <w:rPr>
          <w:sz w:val="32"/>
          <w:szCs w:val="52"/>
        </w:rPr>
        <w:t>二、工作简况</w:t>
      </w:r>
      <w:bookmarkEnd w:id="12"/>
      <w:bookmarkEnd w:id="13"/>
    </w:p>
    <w:p>
      <w:pPr>
        <w:topLinePunct/>
        <w:spacing w:line="276" w:lineRule="auto"/>
        <w:ind w:firstLine="480" w:firstLineChars="200"/>
        <w:rPr>
          <w:sz w:val="24"/>
          <w:szCs w:val="32"/>
        </w:rPr>
      </w:pPr>
      <w:r>
        <w:rPr>
          <w:rFonts w:hint="eastAsia"/>
          <w:sz w:val="24"/>
          <w:szCs w:val="32"/>
        </w:rPr>
        <w:t>本标准有北京国建联信认证中心有限公司</w:t>
      </w:r>
      <w:r>
        <w:rPr>
          <w:rFonts w:hint="eastAsia"/>
          <w:sz w:val="24"/>
          <w:szCs w:val="32"/>
          <w:lang w:eastAsia="zh-CN"/>
        </w:rPr>
        <w:t>、</w:t>
      </w:r>
      <w:r>
        <w:rPr>
          <w:rFonts w:hint="eastAsia"/>
          <w:sz w:val="24"/>
          <w:szCs w:val="32"/>
          <w:lang w:val="en-US" w:eastAsia="zh-CN"/>
        </w:rPr>
        <w:t>中国石灰协会</w:t>
      </w:r>
      <w:r>
        <w:rPr>
          <w:rFonts w:hint="eastAsia"/>
          <w:sz w:val="24"/>
          <w:szCs w:val="32"/>
        </w:rPr>
        <w:t>牵头编制，北京国建联信认证中心有限公司负责标准的编制、整合，</w:t>
      </w:r>
      <w:r>
        <w:rPr>
          <w:rFonts w:hint="eastAsia"/>
          <w:sz w:val="24"/>
          <w:szCs w:val="32"/>
          <w:lang w:val="en-US" w:eastAsia="zh-CN"/>
        </w:rPr>
        <w:t>中国石灰协会负责</w:t>
      </w:r>
      <w:r>
        <w:rPr>
          <w:rFonts w:hint="eastAsia"/>
          <w:sz w:val="24"/>
          <w:szCs w:val="32"/>
        </w:rPr>
        <w:t>行业情况调研</w:t>
      </w:r>
      <w:r>
        <w:rPr>
          <w:rFonts w:hint="eastAsia"/>
          <w:sz w:val="24"/>
          <w:szCs w:val="32"/>
          <w:lang w:eastAsia="zh-CN"/>
        </w:rPr>
        <w:t>、</w:t>
      </w:r>
      <w:r>
        <w:rPr>
          <w:rFonts w:hint="eastAsia"/>
          <w:sz w:val="24"/>
          <w:szCs w:val="32"/>
          <w:lang w:val="en-US" w:eastAsia="zh-CN"/>
        </w:rPr>
        <w:t>标准验证</w:t>
      </w:r>
      <w:r>
        <w:rPr>
          <w:rFonts w:hint="eastAsia"/>
          <w:sz w:val="24"/>
          <w:szCs w:val="32"/>
        </w:rPr>
        <w:t>等工作。</w:t>
      </w:r>
    </w:p>
    <w:p>
      <w:pPr>
        <w:pStyle w:val="41"/>
        <w:spacing w:before="156" w:after="156" w:line="276" w:lineRule="auto"/>
        <w:rPr>
          <w:sz w:val="24"/>
        </w:rPr>
      </w:pPr>
      <w:r>
        <w:rPr>
          <w:rFonts w:ascii="Times New Roman" w:hAnsi="Times New Roman" w:cs="Times New Roman"/>
          <w:sz w:val="24"/>
          <w:szCs w:val="40"/>
        </w:rPr>
        <w:t>2.1</w:t>
      </w:r>
      <w:r>
        <w:rPr>
          <w:rFonts w:hint="eastAsia" w:ascii="Times New Roman" w:hAnsi="Times New Roman" w:cs="Times New Roman"/>
          <w:sz w:val="24"/>
          <w:szCs w:val="40"/>
        </w:rPr>
        <w:t>主要工作过程</w:t>
      </w:r>
    </w:p>
    <w:p>
      <w:pPr>
        <w:topLinePunct/>
        <w:spacing w:line="276" w:lineRule="auto"/>
        <w:ind w:firstLine="480" w:firstLineChars="200"/>
        <w:rPr>
          <w:sz w:val="24"/>
          <w:szCs w:val="32"/>
        </w:rPr>
      </w:pPr>
      <w:r>
        <w:rPr>
          <w:sz w:val="24"/>
          <w:szCs w:val="32"/>
        </w:rPr>
        <w:t>本标准遵循生命周期的基本指导思想，在广泛收集国内外</w:t>
      </w:r>
      <w:r>
        <w:rPr>
          <w:rFonts w:hint="eastAsia"/>
          <w:sz w:val="24"/>
          <w:szCs w:val="32"/>
          <w:lang w:eastAsia="zh-CN"/>
        </w:rPr>
        <w:t>石灰</w:t>
      </w:r>
      <w:r>
        <w:rPr>
          <w:sz w:val="24"/>
          <w:szCs w:val="32"/>
        </w:rPr>
        <w:t>行业环境保护、清洁生产相关的政策、法律法规、技术导则、标准等文献，选择典型企业开展系统深入地实地调研，结合我国</w:t>
      </w:r>
      <w:r>
        <w:rPr>
          <w:rFonts w:hint="eastAsia"/>
          <w:sz w:val="24"/>
          <w:szCs w:val="32"/>
          <w:lang w:eastAsia="zh-CN"/>
        </w:rPr>
        <w:t>石灰</w:t>
      </w:r>
      <w:r>
        <w:rPr>
          <w:sz w:val="24"/>
          <w:szCs w:val="32"/>
        </w:rPr>
        <w:t>环保的现状，进行全面系统研究的基础上，完成了本标准征求意见稿的撰写。该标准给出了绿色</w:t>
      </w:r>
      <w:r>
        <w:rPr>
          <w:rFonts w:hint="eastAsia"/>
          <w:sz w:val="24"/>
          <w:szCs w:val="32"/>
          <w:lang w:eastAsia="zh-CN"/>
        </w:rPr>
        <w:t>石灰</w:t>
      </w:r>
      <w:r>
        <w:rPr>
          <w:sz w:val="24"/>
          <w:szCs w:val="32"/>
        </w:rPr>
        <w:t>的基本要求、评价指标体系框架、生命周期评价要求、评价方法。具体编制过程如下：</w:t>
      </w:r>
    </w:p>
    <w:p>
      <w:pPr>
        <w:topLinePunct/>
        <w:spacing w:line="276" w:lineRule="auto"/>
        <w:ind w:firstLine="480" w:firstLineChars="200"/>
        <w:rPr>
          <w:sz w:val="24"/>
          <w:szCs w:val="32"/>
        </w:rPr>
      </w:pPr>
      <w:r>
        <w:rPr>
          <w:sz w:val="24"/>
          <w:szCs w:val="32"/>
        </w:rPr>
        <w:t>20</w:t>
      </w:r>
      <w:r>
        <w:rPr>
          <w:rFonts w:hint="eastAsia"/>
          <w:sz w:val="24"/>
          <w:szCs w:val="32"/>
          <w:lang w:val="en-US" w:eastAsia="zh-CN"/>
        </w:rPr>
        <w:t>20</w:t>
      </w:r>
      <w:r>
        <w:rPr>
          <w:sz w:val="24"/>
          <w:szCs w:val="32"/>
        </w:rPr>
        <w:t>年</w:t>
      </w:r>
      <w:r>
        <w:rPr>
          <w:rFonts w:hint="eastAsia"/>
          <w:sz w:val="24"/>
          <w:szCs w:val="32"/>
          <w:lang w:val="en-US" w:eastAsia="zh-CN"/>
        </w:rPr>
        <w:t>7</w:t>
      </w:r>
      <w:r>
        <w:rPr>
          <w:sz w:val="24"/>
          <w:szCs w:val="32"/>
        </w:rPr>
        <w:t>月，</w:t>
      </w:r>
      <w:r>
        <w:rPr>
          <w:rFonts w:hint="eastAsia"/>
          <w:sz w:val="24"/>
          <w:szCs w:val="32"/>
        </w:rPr>
        <w:t>召开标准编制工作启动会，确定标准编制组，由北京国建联信认证中心有限公司</w:t>
      </w:r>
      <w:r>
        <w:rPr>
          <w:rFonts w:hint="eastAsia"/>
          <w:sz w:val="24"/>
          <w:szCs w:val="32"/>
          <w:lang w:eastAsia="zh-CN"/>
        </w:rPr>
        <w:t>、</w:t>
      </w:r>
      <w:r>
        <w:rPr>
          <w:rFonts w:hint="eastAsia"/>
          <w:sz w:val="24"/>
          <w:szCs w:val="32"/>
        </w:rPr>
        <w:t>中国</w:t>
      </w:r>
      <w:r>
        <w:rPr>
          <w:rFonts w:hint="eastAsia"/>
          <w:sz w:val="24"/>
          <w:szCs w:val="32"/>
          <w:lang w:eastAsia="zh-CN"/>
        </w:rPr>
        <w:t>石灰</w:t>
      </w:r>
      <w:r>
        <w:rPr>
          <w:rFonts w:hint="eastAsia"/>
          <w:sz w:val="24"/>
          <w:szCs w:val="32"/>
        </w:rPr>
        <w:t>协会负责起草</w:t>
      </w:r>
      <w:r>
        <w:rPr>
          <w:sz w:val="24"/>
          <w:szCs w:val="32"/>
        </w:rPr>
        <w:t>；</w:t>
      </w:r>
    </w:p>
    <w:p>
      <w:pPr>
        <w:topLinePunct/>
        <w:spacing w:line="276" w:lineRule="auto"/>
        <w:ind w:firstLine="480" w:firstLineChars="200"/>
        <w:rPr>
          <w:sz w:val="24"/>
          <w:szCs w:val="32"/>
        </w:rPr>
      </w:pPr>
      <w:bookmarkStart w:id="14" w:name="_Toc351215567"/>
      <w:r>
        <w:rPr>
          <w:sz w:val="24"/>
          <w:szCs w:val="32"/>
        </w:rPr>
        <w:t>20</w:t>
      </w:r>
      <w:r>
        <w:rPr>
          <w:rFonts w:hint="eastAsia"/>
          <w:sz w:val="24"/>
          <w:szCs w:val="32"/>
          <w:lang w:val="en-US" w:eastAsia="zh-CN"/>
        </w:rPr>
        <w:t>20</w:t>
      </w:r>
      <w:r>
        <w:rPr>
          <w:sz w:val="24"/>
          <w:szCs w:val="32"/>
        </w:rPr>
        <w:t>年</w:t>
      </w:r>
      <w:r>
        <w:rPr>
          <w:rFonts w:hint="eastAsia"/>
          <w:sz w:val="24"/>
          <w:szCs w:val="32"/>
          <w:lang w:val="en-US" w:eastAsia="zh-CN"/>
        </w:rPr>
        <w:t>10</w:t>
      </w:r>
      <w:r>
        <w:rPr>
          <w:sz w:val="24"/>
          <w:szCs w:val="32"/>
        </w:rPr>
        <w:t>月，完成行业</w:t>
      </w:r>
      <w:r>
        <w:rPr>
          <w:rFonts w:hint="eastAsia"/>
          <w:sz w:val="24"/>
          <w:szCs w:val="32"/>
        </w:rPr>
        <w:t>初步</w:t>
      </w:r>
      <w:r>
        <w:rPr>
          <w:sz w:val="24"/>
          <w:szCs w:val="32"/>
        </w:rPr>
        <w:t>调研，</w:t>
      </w:r>
      <w:r>
        <w:rPr>
          <w:rFonts w:hint="eastAsia"/>
          <w:sz w:val="24"/>
          <w:szCs w:val="32"/>
        </w:rPr>
        <w:t>搜集并分析了相关数据，作为标准评价指标提出的科学参考依据，</w:t>
      </w:r>
      <w:r>
        <w:rPr>
          <w:sz w:val="24"/>
          <w:szCs w:val="32"/>
        </w:rPr>
        <w:t>编制完成标准初稿；</w:t>
      </w:r>
    </w:p>
    <w:p>
      <w:pPr>
        <w:topLinePunct/>
        <w:spacing w:line="276" w:lineRule="auto"/>
        <w:ind w:firstLine="480" w:firstLineChars="200"/>
        <w:rPr>
          <w:rFonts w:hint="eastAsia"/>
          <w:sz w:val="24"/>
          <w:szCs w:val="32"/>
        </w:rPr>
      </w:pPr>
      <w:r>
        <w:rPr>
          <w:sz w:val="24"/>
          <w:szCs w:val="32"/>
        </w:rPr>
        <w:t>20</w:t>
      </w:r>
      <w:r>
        <w:rPr>
          <w:rFonts w:hint="eastAsia"/>
          <w:sz w:val="24"/>
          <w:szCs w:val="32"/>
          <w:lang w:val="en-US" w:eastAsia="zh-CN"/>
        </w:rPr>
        <w:t>21</w:t>
      </w:r>
      <w:r>
        <w:rPr>
          <w:sz w:val="24"/>
          <w:szCs w:val="32"/>
        </w:rPr>
        <w:t>年</w:t>
      </w:r>
      <w:r>
        <w:rPr>
          <w:rFonts w:hint="eastAsia"/>
          <w:sz w:val="24"/>
          <w:szCs w:val="32"/>
          <w:lang w:val="en-US" w:eastAsia="zh-CN"/>
        </w:rPr>
        <w:t>1</w:t>
      </w:r>
      <w:r>
        <w:rPr>
          <w:sz w:val="24"/>
          <w:szCs w:val="32"/>
        </w:rPr>
        <w:t>月</w:t>
      </w:r>
      <w:r>
        <w:rPr>
          <w:rFonts w:hint="eastAsia"/>
          <w:sz w:val="24"/>
          <w:szCs w:val="32"/>
          <w:lang w:val="en-US" w:eastAsia="zh-CN"/>
        </w:rPr>
        <w:t>5</w:t>
      </w:r>
      <w:r>
        <w:rPr>
          <w:sz w:val="24"/>
          <w:szCs w:val="32"/>
        </w:rPr>
        <w:t>，组织行业专家讨论，</w:t>
      </w:r>
      <w:r>
        <w:rPr>
          <w:rFonts w:hint="eastAsia"/>
          <w:sz w:val="24"/>
          <w:szCs w:val="32"/>
        </w:rPr>
        <w:t>编制组向与会专家和企业介绍了本标准的起草背景、过程和主要内容。会后，起草组针对有关意见和建议，对标准进行了修改；</w:t>
      </w:r>
    </w:p>
    <w:p>
      <w:pPr>
        <w:topLinePunct/>
        <w:spacing w:line="276" w:lineRule="auto"/>
        <w:ind w:firstLine="480" w:firstLineChars="200"/>
        <w:rPr>
          <w:rFonts w:hint="default" w:eastAsia="宋体"/>
          <w:sz w:val="24"/>
          <w:szCs w:val="32"/>
          <w:lang w:val="en-US" w:eastAsia="zh-CN"/>
        </w:rPr>
      </w:pPr>
      <w:r>
        <w:rPr>
          <w:rFonts w:hint="eastAsia"/>
          <w:sz w:val="24"/>
          <w:szCs w:val="32"/>
          <w:lang w:val="en-US" w:eastAsia="zh-CN"/>
        </w:rPr>
        <w:t>20211年2月-7月，中国石灰协会牵头，抵达石灰工厂进行现场调研，同时发送问卷调研函就标准的指标数值进行问卷调研。</w:t>
      </w:r>
    </w:p>
    <w:p>
      <w:pPr>
        <w:topLinePunct/>
        <w:spacing w:line="276" w:lineRule="auto"/>
        <w:ind w:firstLine="480" w:firstLineChars="200"/>
        <w:rPr>
          <w:rFonts w:hint="default" w:eastAsia="宋体"/>
          <w:sz w:val="24"/>
          <w:szCs w:val="32"/>
          <w:lang w:val="en-US" w:eastAsia="zh-CN"/>
        </w:rPr>
      </w:pPr>
      <w:r>
        <w:rPr>
          <w:rFonts w:hint="eastAsia"/>
          <w:sz w:val="24"/>
          <w:szCs w:val="32"/>
        </w:rPr>
        <w:t>20</w:t>
      </w:r>
      <w:r>
        <w:rPr>
          <w:rFonts w:hint="eastAsia"/>
          <w:sz w:val="24"/>
          <w:szCs w:val="32"/>
          <w:lang w:val="en-US" w:eastAsia="zh-CN"/>
        </w:rPr>
        <w:t>21</w:t>
      </w:r>
      <w:r>
        <w:rPr>
          <w:rFonts w:hint="eastAsia"/>
          <w:sz w:val="24"/>
          <w:szCs w:val="32"/>
        </w:rPr>
        <w:t>年</w:t>
      </w:r>
      <w:r>
        <w:rPr>
          <w:rFonts w:hint="eastAsia"/>
          <w:sz w:val="24"/>
          <w:szCs w:val="32"/>
          <w:lang w:val="en-US" w:eastAsia="zh-CN"/>
        </w:rPr>
        <w:t>8</w:t>
      </w:r>
      <w:r>
        <w:rPr>
          <w:rFonts w:hint="eastAsia"/>
          <w:sz w:val="24"/>
          <w:szCs w:val="32"/>
        </w:rPr>
        <w:t>月</w:t>
      </w:r>
      <w:r>
        <w:rPr>
          <w:rFonts w:hint="eastAsia"/>
          <w:sz w:val="24"/>
          <w:szCs w:val="32"/>
          <w:lang w:eastAsia="zh-CN"/>
        </w:rPr>
        <w:t>，</w:t>
      </w:r>
      <w:r>
        <w:rPr>
          <w:rFonts w:hint="eastAsia"/>
          <w:sz w:val="24"/>
          <w:szCs w:val="32"/>
          <w:lang w:val="en-US" w:eastAsia="zh-CN"/>
        </w:rPr>
        <w:t>中国建材联合会发布</w:t>
      </w:r>
      <w:r>
        <w:rPr>
          <w:rFonts w:hint="eastAsia"/>
          <w:sz w:val="24"/>
          <w:szCs w:val="32"/>
        </w:rPr>
        <w:t>《</w:t>
      </w:r>
      <w:r>
        <w:rPr>
          <w:rFonts w:hint="eastAsia"/>
          <w:sz w:val="24"/>
          <w:szCs w:val="32"/>
          <w:lang w:val="en-US" w:eastAsia="zh-CN"/>
        </w:rPr>
        <w:t>关于下达2021年第五批协会标准制定计划的通知</w:t>
      </w:r>
      <w:r>
        <w:rPr>
          <w:sz w:val="24"/>
          <w:szCs w:val="32"/>
        </w:rPr>
        <w:t>》（</w:t>
      </w:r>
      <w:r>
        <w:rPr>
          <w:rFonts w:hint="eastAsia"/>
          <w:sz w:val="24"/>
          <w:szCs w:val="32"/>
          <w:lang w:val="en-US" w:eastAsia="zh-CN"/>
        </w:rPr>
        <w:t>中建材联标发[2021]104号</w:t>
      </w:r>
      <w:r>
        <w:rPr>
          <w:sz w:val="24"/>
          <w:szCs w:val="32"/>
        </w:rPr>
        <w:t>）</w:t>
      </w:r>
      <w:r>
        <w:rPr>
          <w:rFonts w:hint="eastAsia"/>
          <w:sz w:val="24"/>
          <w:szCs w:val="32"/>
          <w:lang w:val="en-US" w:eastAsia="zh-CN"/>
        </w:rPr>
        <w:t>标准立项。</w:t>
      </w:r>
    </w:p>
    <w:p>
      <w:pPr>
        <w:topLinePunct/>
        <w:spacing w:line="276" w:lineRule="auto"/>
        <w:ind w:firstLine="480" w:firstLineChars="200"/>
        <w:rPr>
          <w:sz w:val="24"/>
          <w:szCs w:val="32"/>
        </w:rPr>
      </w:pPr>
      <w:r>
        <w:rPr>
          <w:sz w:val="24"/>
          <w:szCs w:val="32"/>
        </w:rPr>
        <w:t>202</w:t>
      </w:r>
      <w:r>
        <w:rPr>
          <w:rFonts w:hint="eastAsia"/>
          <w:sz w:val="24"/>
          <w:szCs w:val="32"/>
          <w:lang w:val="en-US" w:eastAsia="zh-CN"/>
        </w:rPr>
        <w:t>1</w:t>
      </w:r>
      <w:r>
        <w:rPr>
          <w:sz w:val="24"/>
          <w:szCs w:val="32"/>
        </w:rPr>
        <w:t>年</w:t>
      </w:r>
      <w:r>
        <w:rPr>
          <w:rFonts w:hint="eastAsia"/>
          <w:sz w:val="24"/>
          <w:szCs w:val="32"/>
          <w:lang w:val="en-US" w:eastAsia="zh-CN"/>
        </w:rPr>
        <w:t>11</w:t>
      </w:r>
      <w:r>
        <w:rPr>
          <w:sz w:val="24"/>
          <w:szCs w:val="32"/>
        </w:rPr>
        <w:t>月，</w:t>
      </w:r>
      <w:r>
        <w:rPr>
          <w:rFonts w:hint="eastAsia"/>
          <w:sz w:val="24"/>
          <w:szCs w:val="32"/>
        </w:rPr>
        <w:t xml:space="preserve">通过远程会议形式召开标准专家讨论会，就评价指标关键问题进行研讨，会后形成《绿色设计产品评价技术规范 </w:t>
      </w:r>
      <w:r>
        <w:rPr>
          <w:rFonts w:hint="eastAsia"/>
          <w:sz w:val="24"/>
          <w:szCs w:val="32"/>
          <w:lang w:eastAsia="zh-CN"/>
        </w:rPr>
        <w:t>石灰</w:t>
      </w:r>
      <w:r>
        <w:rPr>
          <w:rFonts w:hint="eastAsia"/>
          <w:sz w:val="24"/>
          <w:szCs w:val="32"/>
        </w:rPr>
        <w:t>》征求意见稿；</w:t>
      </w:r>
    </w:p>
    <w:p>
      <w:pPr>
        <w:pStyle w:val="41"/>
        <w:spacing w:before="156" w:after="156" w:line="276" w:lineRule="auto"/>
        <w:rPr>
          <w:sz w:val="24"/>
        </w:rPr>
      </w:pPr>
      <w:r>
        <w:rPr>
          <w:rFonts w:ascii="Times New Roman" w:hAnsi="Times New Roman" w:cs="Times New Roman"/>
          <w:sz w:val="24"/>
          <w:szCs w:val="40"/>
        </w:rPr>
        <w:t>2.2</w:t>
      </w:r>
      <w:r>
        <w:rPr>
          <w:rFonts w:hint="eastAsia"/>
        </w:rPr>
        <w:t xml:space="preserve"> </w:t>
      </w:r>
      <w:r>
        <w:rPr>
          <w:rFonts w:hint="eastAsia" w:ascii="Times New Roman" w:hAnsi="Times New Roman" w:cs="Times New Roman"/>
          <w:sz w:val="24"/>
          <w:szCs w:val="40"/>
        </w:rPr>
        <w:t>标准分工</w:t>
      </w:r>
    </w:p>
    <w:p>
      <w:pPr>
        <w:ind w:firstLine="420"/>
        <w:rPr>
          <w:sz w:val="24"/>
          <w:szCs w:val="32"/>
        </w:rPr>
      </w:pPr>
      <w:r>
        <w:rPr>
          <w:rFonts w:hint="eastAsia"/>
          <w:sz w:val="24"/>
          <w:szCs w:val="32"/>
        </w:rPr>
        <w:t>本标准由北京国建联信认证中心有限公司</w:t>
      </w:r>
      <w:r>
        <w:rPr>
          <w:rFonts w:hint="eastAsia"/>
          <w:sz w:val="24"/>
          <w:szCs w:val="32"/>
          <w:lang w:eastAsia="zh-CN"/>
        </w:rPr>
        <w:t>、</w:t>
      </w:r>
      <w:r>
        <w:rPr>
          <w:rFonts w:hint="eastAsia"/>
          <w:sz w:val="24"/>
          <w:szCs w:val="32"/>
        </w:rPr>
        <w:t>中国</w:t>
      </w:r>
      <w:r>
        <w:rPr>
          <w:rFonts w:hint="eastAsia"/>
          <w:sz w:val="24"/>
          <w:szCs w:val="32"/>
          <w:lang w:eastAsia="zh-CN"/>
        </w:rPr>
        <w:t>石灰</w:t>
      </w:r>
      <w:r>
        <w:rPr>
          <w:rFonts w:hint="eastAsia"/>
          <w:sz w:val="24"/>
          <w:szCs w:val="32"/>
        </w:rPr>
        <w:t>协会负责</w:t>
      </w:r>
      <w:r>
        <w:rPr>
          <w:rFonts w:hint="eastAsia"/>
          <w:sz w:val="24"/>
          <w:szCs w:val="32"/>
          <w:lang w:val="en-US" w:eastAsia="zh-CN"/>
        </w:rPr>
        <w:t>牵头</w:t>
      </w:r>
      <w:r>
        <w:rPr>
          <w:rFonts w:hint="eastAsia"/>
          <w:sz w:val="24"/>
          <w:szCs w:val="32"/>
        </w:rPr>
        <w:t>起草。具体分工如下：</w:t>
      </w:r>
    </w:p>
    <w:p>
      <w:pPr>
        <w:spacing w:before="156" w:beforeLines="50"/>
        <w:jc w:val="center"/>
        <w:rPr>
          <w:sz w:val="24"/>
          <w:szCs w:val="32"/>
        </w:rPr>
      </w:pPr>
      <w:r>
        <w:rPr>
          <w:rFonts w:hint="eastAsia"/>
          <w:sz w:val="24"/>
          <w:szCs w:val="32"/>
        </w:rPr>
        <w:t>表</w:t>
      </w:r>
      <w:r>
        <w:rPr>
          <w:sz w:val="24"/>
          <w:szCs w:val="32"/>
        </w:rPr>
        <w:t xml:space="preserve">2  </w:t>
      </w:r>
      <w:r>
        <w:rPr>
          <w:rFonts w:hint="eastAsia"/>
          <w:sz w:val="24"/>
          <w:szCs w:val="32"/>
        </w:rPr>
        <w:t>参编单位分工</w:t>
      </w:r>
    </w:p>
    <w:tbl>
      <w:tblPr>
        <w:tblStyle w:val="2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125"/>
        <w:gridCol w:w="392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125" w:type="dxa"/>
          </w:tcPr>
          <w:p>
            <w:pPr>
              <w:jc w:val="center"/>
              <w:rPr>
                <w:sz w:val="24"/>
                <w:szCs w:val="32"/>
              </w:rPr>
            </w:pPr>
            <w:r>
              <w:rPr>
                <w:rFonts w:hint="eastAsia"/>
                <w:sz w:val="24"/>
                <w:szCs w:val="32"/>
              </w:rPr>
              <w:t>单位名称</w:t>
            </w:r>
          </w:p>
        </w:tc>
        <w:tc>
          <w:tcPr>
            <w:tcW w:w="3925" w:type="dxa"/>
          </w:tcPr>
          <w:p>
            <w:pPr>
              <w:jc w:val="center"/>
              <w:rPr>
                <w:sz w:val="24"/>
                <w:szCs w:val="32"/>
              </w:rPr>
            </w:pPr>
            <w:r>
              <w:rPr>
                <w:rFonts w:hint="eastAsia"/>
                <w:sz w:val="24"/>
                <w:szCs w:val="32"/>
              </w:rPr>
              <w:t>工作内容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125" w:type="dxa"/>
            <w:vAlign w:val="center"/>
          </w:tcPr>
          <w:p>
            <w:pPr>
              <w:rPr>
                <w:sz w:val="24"/>
                <w:szCs w:val="32"/>
              </w:rPr>
            </w:pPr>
            <w:r>
              <w:rPr>
                <w:rFonts w:hint="eastAsia"/>
                <w:sz w:val="24"/>
                <w:szCs w:val="32"/>
              </w:rPr>
              <w:t>北京国建联信认证中心有限公司</w:t>
            </w:r>
          </w:p>
        </w:tc>
        <w:tc>
          <w:tcPr>
            <w:tcW w:w="3925" w:type="dxa"/>
            <w:vAlign w:val="center"/>
          </w:tcPr>
          <w:p>
            <w:pPr>
              <w:rPr>
                <w:sz w:val="24"/>
                <w:szCs w:val="32"/>
              </w:rPr>
            </w:pPr>
            <w:r>
              <w:rPr>
                <w:rFonts w:hint="eastAsia"/>
                <w:sz w:val="24"/>
                <w:szCs w:val="32"/>
              </w:rPr>
              <w:t>标准牵头、标准框架确定、标准文本及编制说明起草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1" w:hRule="atLeast"/>
          <w:jc w:val="center"/>
        </w:trPr>
        <w:tc>
          <w:tcPr>
            <w:tcW w:w="4125" w:type="dxa"/>
            <w:vAlign w:val="center"/>
          </w:tcPr>
          <w:p>
            <w:pPr>
              <w:rPr>
                <w:sz w:val="24"/>
                <w:szCs w:val="32"/>
              </w:rPr>
            </w:pPr>
            <w:r>
              <w:rPr>
                <w:rFonts w:hint="eastAsia"/>
                <w:sz w:val="24"/>
                <w:szCs w:val="32"/>
              </w:rPr>
              <w:t>中国</w:t>
            </w:r>
            <w:r>
              <w:rPr>
                <w:rFonts w:hint="eastAsia"/>
                <w:sz w:val="24"/>
                <w:szCs w:val="32"/>
                <w:lang w:eastAsia="zh-CN"/>
              </w:rPr>
              <w:t>石灰</w:t>
            </w:r>
            <w:r>
              <w:rPr>
                <w:rFonts w:hint="eastAsia"/>
                <w:sz w:val="24"/>
                <w:szCs w:val="32"/>
              </w:rPr>
              <w:t>协会</w:t>
            </w:r>
          </w:p>
          <w:p>
            <w:pPr>
              <w:rPr>
                <w:sz w:val="24"/>
                <w:szCs w:val="32"/>
              </w:rPr>
            </w:pPr>
            <w:r>
              <w:rPr>
                <w:rFonts w:hint="eastAsia"/>
                <w:sz w:val="24"/>
                <w:szCs w:val="32"/>
              </w:rPr>
              <w:t>建材工业质量认证管理中心</w:t>
            </w:r>
          </w:p>
        </w:tc>
        <w:tc>
          <w:tcPr>
            <w:tcW w:w="3925" w:type="dxa"/>
            <w:vAlign w:val="center"/>
          </w:tcPr>
          <w:p>
            <w:pPr>
              <w:rPr>
                <w:sz w:val="24"/>
                <w:szCs w:val="32"/>
              </w:rPr>
            </w:pPr>
            <w:r>
              <w:rPr>
                <w:rFonts w:hint="eastAsia"/>
                <w:sz w:val="24"/>
                <w:szCs w:val="32"/>
              </w:rPr>
              <w:t>负责企业协调</w:t>
            </w:r>
            <w:r>
              <w:rPr>
                <w:rFonts w:hint="eastAsia"/>
                <w:sz w:val="24"/>
                <w:szCs w:val="32"/>
                <w:lang w:eastAsia="zh-CN"/>
              </w:rPr>
              <w:t>、</w:t>
            </w:r>
            <w:r>
              <w:rPr>
                <w:rFonts w:hint="eastAsia"/>
                <w:sz w:val="24"/>
                <w:szCs w:val="32"/>
                <w:lang w:val="en-US" w:eastAsia="zh-CN"/>
              </w:rPr>
              <w:t>调研、验证等</w:t>
            </w:r>
            <w:r>
              <w:rPr>
                <w:rFonts w:hint="eastAsia"/>
                <w:sz w:val="24"/>
                <w:szCs w:val="32"/>
              </w:rPr>
              <w:t>工作</w:t>
            </w:r>
          </w:p>
        </w:tc>
      </w:tr>
    </w:tbl>
    <w:p>
      <w:pPr>
        <w:topLinePunct/>
        <w:spacing w:line="276" w:lineRule="auto"/>
        <w:ind w:firstLine="480" w:firstLineChars="200"/>
        <w:rPr>
          <w:sz w:val="24"/>
          <w:szCs w:val="32"/>
        </w:rPr>
      </w:pPr>
    </w:p>
    <w:bookmarkEnd w:id="14"/>
    <w:p>
      <w:pPr>
        <w:pStyle w:val="39"/>
        <w:spacing w:before="156" w:after="156" w:line="276" w:lineRule="auto"/>
        <w:rPr>
          <w:sz w:val="32"/>
          <w:szCs w:val="52"/>
        </w:rPr>
      </w:pPr>
      <w:bookmarkStart w:id="15" w:name="_Toc42087768"/>
      <w:bookmarkStart w:id="16" w:name="_Toc36132044"/>
      <w:bookmarkStart w:id="17" w:name="_Toc222553790"/>
      <w:bookmarkStart w:id="18" w:name="_Toc251577422"/>
      <w:bookmarkStart w:id="19" w:name="_Toc242585748"/>
      <w:r>
        <w:rPr>
          <w:sz w:val="32"/>
          <w:szCs w:val="52"/>
        </w:rPr>
        <w:t>三、编制原则及标准的主要技术内容说明</w:t>
      </w:r>
      <w:bookmarkEnd w:id="15"/>
      <w:bookmarkEnd w:id="16"/>
      <w:r>
        <w:rPr>
          <w:sz w:val="32"/>
          <w:szCs w:val="52"/>
        </w:rPr>
        <w:t xml:space="preserve"> </w:t>
      </w:r>
    </w:p>
    <w:p>
      <w:pPr>
        <w:pStyle w:val="41"/>
        <w:spacing w:before="156" w:after="156" w:line="276" w:lineRule="auto"/>
        <w:rPr>
          <w:rFonts w:ascii="Times New Roman" w:hAnsi="Times New Roman" w:cs="Times New Roman"/>
          <w:sz w:val="24"/>
          <w:szCs w:val="40"/>
        </w:rPr>
      </w:pPr>
      <w:bookmarkStart w:id="20" w:name="_Toc42087769"/>
      <w:bookmarkStart w:id="21" w:name="_Toc36132045"/>
      <w:r>
        <w:rPr>
          <w:rFonts w:ascii="Times New Roman" w:hAnsi="Times New Roman" w:cs="Times New Roman"/>
          <w:sz w:val="24"/>
          <w:szCs w:val="40"/>
        </w:rPr>
        <w:t>3.1本标准的编制原则</w:t>
      </w:r>
      <w:bookmarkEnd w:id="20"/>
      <w:bookmarkEnd w:id="21"/>
    </w:p>
    <w:p>
      <w:pPr>
        <w:spacing w:line="276" w:lineRule="auto"/>
        <w:ind w:firstLine="480" w:firstLineChars="200"/>
        <w:rPr>
          <w:sz w:val="24"/>
          <w:szCs w:val="32"/>
        </w:rPr>
      </w:pPr>
      <w:r>
        <w:rPr>
          <w:sz w:val="24"/>
          <w:szCs w:val="32"/>
        </w:rPr>
        <w:t>遵循标准编制先进性、科学性、一致性和可行性的原则。在编制过程中，以</w:t>
      </w:r>
      <w:r>
        <w:rPr>
          <w:rFonts w:hint="eastAsia"/>
          <w:sz w:val="24"/>
          <w:szCs w:val="32"/>
        </w:rPr>
        <w:t>GB</w:t>
      </w:r>
      <w:r>
        <w:rPr>
          <w:sz w:val="24"/>
          <w:szCs w:val="32"/>
        </w:rPr>
        <w:t>/</w:t>
      </w:r>
      <w:r>
        <w:rPr>
          <w:rFonts w:hint="eastAsia"/>
          <w:sz w:val="24"/>
          <w:szCs w:val="32"/>
        </w:rPr>
        <w:t>T</w:t>
      </w:r>
      <w:r>
        <w:rPr>
          <w:sz w:val="24"/>
          <w:szCs w:val="32"/>
        </w:rPr>
        <w:t xml:space="preserve"> 32161-2015 </w:t>
      </w:r>
      <w:r>
        <w:rPr>
          <w:rFonts w:hint="eastAsia"/>
          <w:sz w:val="24"/>
          <w:szCs w:val="32"/>
        </w:rPr>
        <w:t>《生态设计产品评价通则》</w:t>
      </w:r>
      <w:r>
        <w:rPr>
          <w:sz w:val="24"/>
          <w:szCs w:val="32"/>
        </w:rPr>
        <w:t>为依据，以</w:t>
      </w:r>
      <w:r>
        <w:rPr>
          <w:rFonts w:hint="eastAsia"/>
          <w:sz w:val="24"/>
          <w:szCs w:val="32"/>
        </w:rPr>
        <w:t>GB</w:t>
      </w:r>
      <w:r>
        <w:rPr>
          <w:sz w:val="24"/>
          <w:szCs w:val="32"/>
        </w:rPr>
        <w:t>/</w:t>
      </w:r>
      <w:r>
        <w:rPr>
          <w:rFonts w:hint="eastAsia"/>
          <w:sz w:val="24"/>
          <w:szCs w:val="32"/>
        </w:rPr>
        <w:t>T</w:t>
      </w:r>
      <w:r>
        <w:rPr>
          <w:sz w:val="24"/>
          <w:szCs w:val="32"/>
        </w:rPr>
        <w:t xml:space="preserve"> 1.1-2020</w:t>
      </w:r>
      <w:r>
        <w:rPr>
          <w:rFonts w:hint="eastAsia"/>
          <w:sz w:val="24"/>
          <w:szCs w:val="32"/>
        </w:rPr>
        <w:t>《标准化工作导则 第1部分：标准化文件的结构和起草规则》</w:t>
      </w:r>
      <w:r>
        <w:rPr>
          <w:sz w:val="24"/>
          <w:szCs w:val="32"/>
        </w:rPr>
        <w:t>为指导，</w:t>
      </w:r>
      <w:r>
        <w:rPr>
          <w:rFonts w:hint="eastAsia"/>
          <w:sz w:val="24"/>
          <w:szCs w:val="32"/>
        </w:rPr>
        <w:t>在符合国家现行法律、法规以及</w:t>
      </w:r>
      <w:r>
        <w:rPr>
          <w:rFonts w:hint="eastAsia"/>
          <w:sz w:val="24"/>
          <w:szCs w:val="32"/>
          <w:lang w:eastAsia="zh-CN"/>
        </w:rPr>
        <w:t>石灰</w:t>
      </w:r>
      <w:r>
        <w:rPr>
          <w:rFonts w:hint="eastAsia"/>
          <w:sz w:val="24"/>
          <w:szCs w:val="32"/>
        </w:rPr>
        <w:t>行业政策要求的前提下，结合《绿色制造工程实施指南（2016-2020年）》、《工业绿色发展规划（2016-2020年）》、《原材料工业质量提升三年行动方案（2018-2020年）》等政策制定的相关目标，</w:t>
      </w:r>
      <w:r>
        <w:rPr>
          <w:sz w:val="24"/>
          <w:szCs w:val="32"/>
        </w:rPr>
        <w:t>参</w:t>
      </w:r>
      <w:r>
        <w:rPr>
          <w:rFonts w:hint="eastAsia"/>
          <w:sz w:val="24"/>
          <w:szCs w:val="32"/>
        </w:rPr>
        <w:t>考</w:t>
      </w:r>
      <w:r>
        <w:rPr>
          <w:sz w:val="24"/>
          <w:szCs w:val="32"/>
        </w:rPr>
        <w:t>国内外相关标准，广泛调研国内相关行业企业实际生产情况，综合考虑</w:t>
      </w:r>
      <w:r>
        <w:rPr>
          <w:rFonts w:hint="eastAsia"/>
          <w:sz w:val="24"/>
          <w:szCs w:val="32"/>
          <w:lang w:eastAsia="zh-CN"/>
        </w:rPr>
        <w:t>石灰</w:t>
      </w:r>
      <w:r>
        <w:rPr>
          <w:rFonts w:hint="eastAsia"/>
          <w:sz w:val="24"/>
          <w:szCs w:val="32"/>
        </w:rPr>
        <w:t>产品</w:t>
      </w:r>
      <w:r>
        <w:rPr>
          <w:sz w:val="24"/>
          <w:szCs w:val="32"/>
        </w:rPr>
        <w:t>行业当前水平与发展趋势，</w:t>
      </w:r>
      <w:r>
        <w:rPr>
          <w:rFonts w:hint="eastAsia"/>
          <w:sz w:val="24"/>
          <w:szCs w:val="32"/>
        </w:rPr>
        <w:t>从产品生命周期的角度，对</w:t>
      </w:r>
      <w:r>
        <w:rPr>
          <w:rFonts w:hint="eastAsia"/>
          <w:sz w:val="24"/>
          <w:szCs w:val="32"/>
          <w:lang w:eastAsia="zh-CN"/>
        </w:rPr>
        <w:t>石灰</w:t>
      </w:r>
      <w:r>
        <w:rPr>
          <w:rFonts w:hint="eastAsia"/>
          <w:sz w:val="24"/>
          <w:szCs w:val="32"/>
        </w:rPr>
        <w:t>绿色设计做出了详细的规定。</w:t>
      </w:r>
    </w:p>
    <w:p>
      <w:pPr>
        <w:spacing w:line="276" w:lineRule="auto"/>
        <w:ind w:firstLine="480" w:firstLineChars="200"/>
        <w:rPr>
          <w:sz w:val="24"/>
          <w:szCs w:val="32"/>
        </w:rPr>
      </w:pPr>
      <w:r>
        <w:rPr>
          <w:rFonts w:hint="eastAsia"/>
          <w:sz w:val="24"/>
          <w:szCs w:val="32"/>
        </w:rPr>
        <w:t>依据生命周期评价方法，考虑到</w:t>
      </w:r>
      <w:r>
        <w:rPr>
          <w:rFonts w:hint="eastAsia"/>
          <w:sz w:val="24"/>
          <w:szCs w:val="32"/>
          <w:lang w:eastAsia="zh-CN"/>
        </w:rPr>
        <w:t>石灰</w:t>
      </w:r>
      <w:r>
        <w:rPr>
          <w:rFonts w:hint="eastAsia"/>
          <w:sz w:val="24"/>
          <w:szCs w:val="32"/>
        </w:rPr>
        <w:t>产品的整个生命周期，从设计开发、原材料获取、生产、包装、运输、使用及废弃后回收处理等阶段，深入分析各阶段的资源消耗、生态环境、人体健康影响因素，选取不同阶段的典型指标构成评价指标体系。</w:t>
      </w:r>
    </w:p>
    <w:p>
      <w:pPr>
        <w:spacing w:line="276" w:lineRule="auto"/>
        <w:ind w:firstLine="480" w:firstLineChars="200"/>
        <w:rPr>
          <w:sz w:val="24"/>
          <w:szCs w:val="32"/>
        </w:rPr>
      </w:pPr>
      <w:r>
        <w:rPr>
          <w:rFonts w:hint="eastAsia"/>
          <w:sz w:val="24"/>
          <w:szCs w:val="32"/>
        </w:rPr>
        <w:t>本标准在满足评价指标体系要求的基础上，采用生命周期评价方法，开展生命周期清单分析，进行生命周期影响评价，将环境影响评价结果作为产品生态设计评价的重要参考依据，以体现标准的系统性、科学性和可操作性</w:t>
      </w:r>
      <w:r>
        <w:rPr>
          <w:sz w:val="24"/>
          <w:szCs w:val="32"/>
        </w:rPr>
        <w:t>。</w:t>
      </w:r>
    </w:p>
    <w:p>
      <w:pPr>
        <w:pStyle w:val="41"/>
        <w:spacing w:before="156" w:after="156" w:line="276" w:lineRule="auto"/>
        <w:rPr>
          <w:rFonts w:ascii="Times New Roman" w:hAnsi="Times New Roman" w:cs="Times New Roman"/>
          <w:sz w:val="24"/>
          <w:szCs w:val="40"/>
        </w:rPr>
      </w:pPr>
      <w:bookmarkStart w:id="22" w:name="_Toc36132046"/>
      <w:bookmarkStart w:id="23" w:name="_Toc42087770"/>
      <w:r>
        <w:rPr>
          <w:rFonts w:ascii="Times New Roman" w:hAnsi="Times New Roman" w:cs="Times New Roman"/>
          <w:sz w:val="24"/>
          <w:szCs w:val="40"/>
        </w:rPr>
        <w:t>3.2标准的主要内容及说明</w:t>
      </w:r>
      <w:bookmarkEnd w:id="22"/>
      <w:bookmarkEnd w:id="23"/>
      <w:r>
        <w:rPr>
          <w:rFonts w:ascii="Times New Roman" w:hAnsi="Times New Roman" w:cs="Times New Roman"/>
          <w:sz w:val="24"/>
          <w:szCs w:val="40"/>
        </w:rPr>
        <w:t xml:space="preserve"> </w:t>
      </w:r>
    </w:p>
    <w:p>
      <w:pPr>
        <w:pStyle w:val="46"/>
        <w:spacing w:line="276" w:lineRule="auto"/>
        <w:rPr>
          <w:rFonts w:cs="Times New Roman"/>
          <w:sz w:val="28"/>
          <w:szCs w:val="28"/>
        </w:rPr>
      </w:pPr>
      <w:bookmarkStart w:id="24" w:name="_Toc42087771"/>
      <w:r>
        <w:rPr>
          <w:rFonts w:cs="Times New Roman"/>
          <w:sz w:val="28"/>
          <w:szCs w:val="28"/>
        </w:rPr>
        <w:t>3.2.1 范围</w:t>
      </w:r>
      <w:bookmarkEnd w:id="24"/>
    </w:p>
    <w:p>
      <w:pPr>
        <w:autoSpaceDE w:val="0"/>
        <w:autoSpaceDN w:val="0"/>
        <w:adjustRightInd w:val="0"/>
        <w:spacing w:line="276" w:lineRule="auto"/>
        <w:ind w:firstLine="480" w:firstLineChars="200"/>
        <w:jc w:val="left"/>
        <w:rPr>
          <w:sz w:val="24"/>
          <w:szCs w:val="32"/>
        </w:rPr>
      </w:pPr>
      <w:r>
        <w:rPr>
          <w:sz w:val="24"/>
          <w:szCs w:val="32"/>
        </w:rPr>
        <w:t>本标准规定了</w:t>
      </w:r>
      <w:r>
        <w:rPr>
          <w:rFonts w:hint="eastAsia"/>
          <w:sz w:val="24"/>
          <w:szCs w:val="32"/>
          <w:lang w:eastAsia="zh-CN"/>
        </w:rPr>
        <w:t>石灰</w:t>
      </w:r>
      <w:r>
        <w:rPr>
          <w:sz w:val="24"/>
          <w:szCs w:val="32"/>
        </w:rPr>
        <w:t>绿色设计产品评价的评价的</w:t>
      </w:r>
      <w:r>
        <w:rPr>
          <w:rFonts w:hint="eastAsia"/>
          <w:sz w:val="24"/>
          <w:szCs w:val="32"/>
          <w:lang w:val="en-US" w:eastAsia="zh-CN"/>
        </w:rPr>
        <w:t>术</w:t>
      </w:r>
      <w:r>
        <w:rPr>
          <w:sz w:val="24"/>
          <w:szCs w:val="32"/>
        </w:rPr>
        <w:t>语和定义、</w:t>
      </w:r>
      <w:r>
        <w:rPr>
          <w:rFonts w:hint="eastAsia"/>
          <w:sz w:val="24"/>
          <w:szCs w:val="32"/>
        </w:rPr>
        <w:t>评价流程、</w:t>
      </w:r>
      <w:r>
        <w:rPr>
          <w:sz w:val="24"/>
          <w:szCs w:val="32"/>
        </w:rPr>
        <w:t>评价要求、产品生命周期评价报告编制方法、评价方法</w:t>
      </w:r>
      <w:r>
        <w:rPr>
          <w:rFonts w:hint="eastAsia"/>
          <w:sz w:val="24"/>
          <w:szCs w:val="32"/>
        </w:rPr>
        <w:t>及标识</w:t>
      </w:r>
      <w:r>
        <w:rPr>
          <w:sz w:val="24"/>
          <w:szCs w:val="32"/>
        </w:rPr>
        <w:t xml:space="preserve">。 </w:t>
      </w:r>
      <w:bookmarkStart w:id="25" w:name="_Toc42087772"/>
    </w:p>
    <w:p>
      <w:pPr>
        <w:autoSpaceDE w:val="0"/>
        <w:autoSpaceDN w:val="0"/>
        <w:adjustRightInd w:val="0"/>
        <w:spacing w:line="276" w:lineRule="auto"/>
        <w:ind w:firstLine="480" w:firstLineChars="200"/>
        <w:jc w:val="left"/>
        <w:rPr>
          <w:b/>
          <w:bCs/>
          <w:sz w:val="24"/>
          <w:szCs w:val="32"/>
        </w:rPr>
      </w:pPr>
      <w:r>
        <w:rPr>
          <w:rFonts w:hint="eastAsia"/>
          <w:sz w:val="24"/>
          <w:szCs w:val="32"/>
        </w:rPr>
        <w:t>本标准适用于</w:t>
      </w:r>
      <w:r>
        <w:rPr>
          <w:rFonts w:hint="eastAsia"/>
          <w:sz w:val="24"/>
          <w:szCs w:val="32"/>
          <w:lang w:eastAsia="zh-CN"/>
        </w:rPr>
        <w:t>石灰</w:t>
      </w:r>
      <w:r>
        <w:rPr>
          <w:rFonts w:hint="eastAsia"/>
          <w:sz w:val="24"/>
          <w:szCs w:val="32"/>
        </w:rPr>
        <w:t>的绿色设计产品评价。</w:t>
      </w:r>
    </w:p>
    <w:p>
      <w:pPr>
        <w:pStyle w:val="46"/>
        <w:spacing w:line="276" w:lineRule="auto"/>
        <w:rPr>
          <w:rFonts w:cs="Times New Roman"/>
          <w:sz w:val="28"/>
          <w:szCs w:val="28"/>
        </w:rPr>
      </w:pPr>
      <w:r>
        <w:rPr>
          <w:rFonts w:cs="Times New Roman"/>
          <w:sz w:val="28"/>
          <w:szCs w:val="28"/>
        </w:rPr>
        <w:t>3.2.2 术语和定义</w:t>
      </w:r>
      <w:bookmarkEnd w:id="25"/>
    </w:p>
    <w:p>
      <w:pPr>
        <w:spacing w:line="276" w:lineRule="auto"/>
        <w:ind w:firstLine="480" w:firstLineChars="200"/>
        <w:rPr>
          <w:sz w:val="24"/>
          <w:szCs w:val="32"/>
        </w:rPr>
      </w:pPr>
      <w:r>
        <w:rPr>
          <w:sz w:val="24"/>
          <w:szCs w:val="32"/>
        </w:rPr>
        <w:t>在充分考虑本标准适用范围以及参考其他相关标准定义的基础上给出本标准的术语和定义。</w:t>
      </w:r>
    </w:p>
    <w:p>
      <w:pPr>
        <w:spacing w:line="276" w:lineRule="auto"/>
        <w:ind w:firstLine="480" w:firstLineChars="200"/>
        <w:rPr>
          <w:sz w:val="24"/>
          <w:szCs w:val="32"/>
        </w:rPr>
      </w:pPr>
      <w:r>
        <w:rPr>
          <w:sz w:val="24"/>
          <w:szCs w:val="32"/>
        </w:rPr>
        <w:t>参考国家现行相关标准，对绿色设计、绿色设计产品</w:t>
      </w:r>
      <w:r>
        <w:rPr>
          <w:rFonts w:hint="eastAsia"/>
          <w:sz w:val="24"/>
          <w:szCs w:val="32"/>
        </w:rPr>
        <w:t>、生命周期评价报告</w:t>
      </w:r>
      <w:r>
        <w:rPr>
          <w:sz w:val="24"/>
          <w:szCs w:val="32"/>
        </w:rPr>
        <w:t>等关键性术语作相关定义。</w:t>
      </w:r>
    </w:p>
    <w:p>
      <w:pPr>
        <w:pStyle w:val="46"/>
        <w:spacing w:line="276" w:lineRule="auto"/>
        <w:rPr>
          <w:rFonts w:cs="Times New Roman"/>
          <w:sz w:val="28"/>
          <w:szCs w:val="28"/>
        </w:rPr>
      </w:pPr>
      <w:r>
        <w:rPr>
          <w:rFonts w:cs="Times New Roman"/>
          <w:sz w:val="28"/>
          <w:szCs w:val="28"/>
        </w:rPr>
        <w:t>3.2.3</w:t>
      </w:r>
      <w:r>
        <w:rPr>
          <w:rFonts w:hint="eastAsia" w:cs="Times New Roman"/>
          <w:sz w:val="28"/>
          <w:szCs w:val="28"/>
        </w:rPr>
        <w:t>评价流程</w:t>
      </w:r>
    </w:p>
    <w:p>
      <w:pPr>
        <w:spacing w:line="276" w:lineRule="auto"/>
        <w:ind w:firstLine="480" w:firstLineChars="200"/>
        <w:rPr>
          <w:sz w:val="24"/>
          <w:szCs w:val="32"/>
        </w:rPr>
      </w:pPr>
      <w:r>
        <w:rPr>
          <w:rFonts w:hint="eastAsia"/>
          <w:sz w:val="24"/>
          <w:szCs w:val="32"/>
        </w:rPr>
        <w:t>本小节描述了进行绿色设计产品评价的基本流程，首先根据评价指标体系中的指标和生命周期评价方法，收集需要的数据，同时要对数据质量进行分析；对照基本要求和评价指标要求，对产品进行评价，符合基本要求和评价指标要求的产品，可判定该产品符合绿色设计产品的评价要求；产品符合基本要求和评价指标要求的企业，还应提供该产品的生命周期评价报告。</w:t>
      </w:r>
    </w:p>
    <w:p>
      <w:pPr>
        <w:pStyle w:val="46"/>
        <w:spacing w:line="276" w:lineRule="auto"/>
        <w:rPr>
          <w:rFonts w:cs="Times New Roman"/>
          <w:sz w:val="28"/>
          <w:szCs w:val="28"/>
        </w:rPr>
      </w:pPr>
      <w:bookmarkStart w:id="26" w:name="_Toc42087773"/>
      <w:r>
        <w:rPr>
          <w:rFonts w:cs="Times New Roman"/>
          <w:sz w:val="28"/>
          <w:szCs w:val="28"/>
        </w:rPr>
        <w:t>3.2.4 主要技术指标</w:t>
      </w:r>
      <w:bookmarkEnd w:id="26"/>
    </w:p>
    <w:p>
      <w:pPr>
        <w:pStyle w:val="47"/>
        <w:spacing w:line="276" w:lineRule="auto"/>
        <w:rPr>
          <w:rFonts w:ascii="Times New Roman" w:hAnsi="Times New Roman" w:cs="Times New Roman"/>
          <w:sz w:val="28"/>
          <w:szCs w:val="36"/>
        </w:rPr>
      </w:pPr>
      <w:r>
        <w:rPr>
          <w:rFonts w:ascii="Times New Roman" w:hAnsi="Times New Roman" w:cs="Times New Roman"/>
          <w:sz w:val="28"/>
          <w:szCs w:val="36"/>
        </w:rPr>
        <w:t>3.2.4.1 基础条件</w:t>
      </w:r>
    </w:p>
    <w:p>
      <w:pPr>
        <w:spacing w:line="276" w:lineRule="auto"/>
        <w:ind w:firstLine="480" w:firstLineChars="200"/>
        <w:rPr>
          <w:sz w:val="24"/>
          <w:szCs w:val="32"/>
        </w:rPr>
      </w:pPr>
      <w:r>
        <w:rPr>
          <w:sz w:val="24"/>
          <w:szCs w:val="32"/>
        </w:rPr>
        <w:t>首先企业需满足以下基本条件，基本要求涵盖企业污染物排放、清洁生产水平、工艺技术、管理体系、能源计量器具配置、法律法规满足程度和产品基本性能等要求，如下所示：</w:t>
      </w:r>
    </w:p>
    <w:p>
      <w:pPr>
        <w:pStyle w:val="56"/>
        <w:numPr>
          <w:ilvl w:val="0"/>
          <w:numId w:val="1"/>
        </w:numPr>
        <w:spacing w:line="276" w:lineRule="auto"/>
        <w:ind w:left="0" w:firstLine="0" w:firstLineChars="0"/>
        <w:rPr>
          <w:sz w:val="24"/>
          <w:szCs w:val="32"/>
        </w:rPr>
      </w:pPr>
      <w:r>
        <w:rPr>
          <w:rFonts w:hint="eastAsia"/>
          <w:sz w:val="24"/>
          <w:szCs w:val="32"/>
        </w:rPr>
        <w:t>企业污染物排放应符合GB 16297和地方污染物排放标准要求，污染物排放总量应符合排污许可证要求，近3年无重大安全、质量和环境污染事故</w:t>
      </w:r>
      <w:r>
        <w:rPr>
          <w:sz w:val="24"/>
          <w:szCs w:val="32"/>
        </w:rPr>
        <w:t>。</w:t>
      </w:r>
    </w:p>
    <w:p>
      <w:pPr>
        <w:pStyle w:val="56"/>
        <w:spacing w:line="276" w:lineRule="auto"/>
        <w:ind w:left="420" w:leftChars="200" w:firstLine="0" w:firstLineChars="0"/>
        <w:rPr>
          <w:rFonts w:ascii="楷体" w:hAnsi="楷体" w:eastAsia="楷体"/>
          <w:sz w:val="24"/>
          <w:szCs w:val="32"/>
        </w:rPr>
      </w:pPr>
      <w:r>
        <w:rPr>
          <w:rFonts w:hint="eastAsia" w:ascii="楷体" w:hAnsi="楷体" w:eastAsia="楷体"/>
          <w:sz w:val="24"/>
          <w:szCs w:val="32"/>
        </w:rPr>
        <w:t>说明：企业大气及水体污染物排放的基本要求。不但污染物排放浓度要达到国家标准，同时污染物排放总量也必须达到国家和地方的控制指标。</w:t>
      </w:r>
    </w:p>
    <w:p>
      <w:pPr>
        <w:pStyle w:val="56"/>
        <w:numPr>
          <w:ilvl w:val="0"/>
          <w:numId w:val="1"/>
        </w:numPr>
        <w:spacing w:line="276" w:lineRule="auto"/>
        <w:ind w:left="0" w:firstLine="0" w:firstLineChars="0"/>
        <w:rPr>
          <w:sz w:val="24"/>
          <w:szCs w:val="32"/>
        </w:rPr>
      </w:pPr>
      <w:r>
        <w:rPr>
          <w:sz w:val="24"/>
          <w:szCs w:val="32"/>
        </w:rPr>
        <w:t>列入政府主管部门强制性清洁生产审核名单的企业，其清洁生产水平应达到《</w:t>
      </w:r>
      <w:r>
        <w:rPr>
          <w:rFonts w:hint="eastAsia"/>
          <w:sz w:val="24"/>
          <w:szCs w:val="32"/>
          <w:lang w:eastAsia="zh-CN"/>
        </w:rPr>
        <w:t>石灰</w:t>
      </w:r>
      <w:r>
        <w:rPr>
          <w:sz w:val="24"/>
          <w:szCs w:val="32"/>
        </w:rPr>
        <w:t>行业清洁生产评价指标体系》规定的二级</w:t>
      </w:r>
      <w:r>
        <w:rPr>
          <w:rFonts w:hint="eastAsia"/>
          <w:sz w:val="24"/>
          <w:szCs w:val="32"/>
        </w:rPr>
        <w:t>及以上要求</w:t>
      </w:r>
      <w:r>
        <w:rPr>
          <w:sz w:val="24"/>
          <w:szCs w:val="32"/>
        </w:rPr>
        <w:t>。</w:t>
      </w:r>
    </w:p>
    <w:p>
      <w:pPr>
        <w:pStyle w:val="56"/>
        <w:spacing w:line="276" w:lineRule="auto"/>
        <w:ind w:left="420" w:firstLine="0" w:firstLineChars="0"/>
        <w:rPr>
          <w:sz w:val="24"/>
          <w:szCs w:val="32"/>
        </w:rPr>
      </w:pPr>
      <w:r>
        <w:rPr>
          <w:rFonts w:hint="eastAsia" w:ascii="楷体" w:hAnsi="楷体" w:eastAsia="楷体"/>
          <w:sz w:val="24"/>
          <w:szCs w:val="32"/>
        </w:rPr>
        <w:t>说明：清洁生产基于前期</w:t>
      </w:r>
      <w:r>
        <w:rPr>
          <w:rFonts w:hint="eastAsia" w:ascii="楷体" w:hAnsi="楷体" w:eastAsia="楷体"/>
          <w:sz w:val="24"/>
          <w:szCs w:val="32"/>
          <w:lang w:val="en-US" w:eastAsia="zh-CN"/>
        </w:rPr>
        <w:t>调研</w:t>
      </w:r>
      <w:r>
        <w:rPr>
          <w:rFonts w:hint="eastAsia" w:ascii="楷体" w:hAnsi="楷体" w:eastAsia="楷体"/>
          <w:sz w:val="24"/>
          <w:szCs w:val="32"/>
        </w:rPr>
        <w:t>企业的清洁生产执行情况调研，返回有效问卷</w:t>
      </w:r>
      <w:r>
        <w:rPr>
          <w:rFonts w:hint="eastAsia" w:ascii="楷体" w:hAnsi="楷体" w:eastAsia="楷体"/>
          <w:sz w:val="24"/>
          <w:szCs w:val="32"/>
          <w:lang w:val="en-US" w:eastAsia="zh-CN"/>
        </w:rPr>
        <w:t>10</w:t>
      </w:r>
      <w:r>
        <w:rPr>
          <w:rFonts w:hint="eastAsia" w:ascii="楷体" w:hAnsi="楷体" w:eastAsia="楷体"/>
          <w:sz w:val="24"/>
          <w:szCs w:val="32"/>
        </w:rPr>
        <w:t>份，不满足清洁生产二级或以上要求的企业占比</w:t>
      </w:r>
      <w:r>
        <w:rPr>
          <w:rFonts w:hint="eastAsia" w:ascii="楷体" w:hAnsi="楷体" w:eastAsia="楷体"/>
          <w:sz w:val="24"/>
          <w:szCs w:val="32"/>
          <w:lang w:val="en-US" w:eastAsia="zh-CN"/>
        </w:rPr>
        <w:t>3</w:t>
      </w:r>
      <w:r>
        <w:rPr>
          <w:rFonts w:hint="eastAsia" w:ascii="楷体" w:hAnsi="楷体" w:eastAsia="楷体"/>
          <w:sz w:val="24"/>
          <w:szCs w:val="32"/>
        </w:rPr>
        <w:t>%。</w:t>
      </w:r>
    </w:p>
    <w:p>
      <w:pPr>
        <w:pStyle w:val="56"/>
        <w:numPr>
          <w:ilvl w:val="0"/>
          <w:numId w:val="1"/>
        </w:numPr>
        <w:spacing w:line="276" w:lineRule="auto"/>
        <w:ind w:left="0" w:firstLine="0" w:firstLineChars="0"/>
        <w:rPr>
          <w:sz w:val="24"/>
          <w:szCs w:val="32"/>
        </w:rPr>
      </w:pPr>
      <w:r>
        <w:rPr>
          <w:rFonts w:hint="eastAsia"/>
          <w:sz w:val="24"/>
          <w:szCs w:val="32"/>
        </w:rPr>
        <w:t>企业不应采用淘汰或禁止的技术、工艺、装备及相关物质</w:t>
      </w:r>
      <w:r>
        <w:rPr>
          <w:sz w:val="24"/>
          <w:szCs w:val="32"/>
        </w:rPr>
        <w:t>。</w:t>
      </w:r>
    </w:p>
    <w:p>
      <w:pPr>
        <w:pStyle w:val="56"/>
        <w:spacing w:line="276" w:lineRule="auto"/>
        <w:ind w:left="420" w:leftChars="200" w:firstLine="0" w:firstLineChars="0"/>
        <w:rPr>
          <w:rFonts w:ascii="楷体" w:hAnsi="楷体" w:eastAsia="楷体"/>
          <w:sz w:val="24"/>
          <w:szCs w:val="32"/>
        </w:rPr>
      </w:pPr>
      <w:r>
        <w:rPr>
          <w:rFonts w:hint="eastAsia" w:ascii="楷体" w:hAnsi="楷体" w:eastAsia="楷体"/>
          <w:sz w:val="24"/>
          <w:szCs w:val="32"/>
        </w:rPr>
        <w:t>说明：企业不应采用如《产业结构调整指导目录》等文件中淘汰或禁止的技术、工艺、装备及相关物质。</w:t>
      </w:r>
    </w:p>
    <w:p>
      <w:pPr>
        <w:pStyle w:val="56"/>
        <w:numPr>
          <w:ilvl w:val="0"/>
          <w:numId w:val="1"/>
        </w:numPr>
        <w:spacing w:line="276" w:lineRule="auto"/>
        <w:ind w:left="0" w:firstLine="0" w:firstLineChars="0"/>
        <w:rPr>
          <w:sz w:val="24"/>
          <w:szCs w:val="32"/>
        </w:rPr>
      </w:pPr>
      <w:r>
        <w:rPr>
          <w:rFonts w:hint="eastAsia"/>
          <w:sz w:val="24"/>
          <w:szCs w:val="32"/>
        </w:rPr>
        <w:t>企业应按照GB/T 19001、GB/T 24001、GB/T 45001和GB/T 23331建立并有效运行质量管理体系、环境管理体系、职业健康安全管理体系和能源管理体系。</w:t>
      </w:r>
    </w:p>
    <w:p>
      <w:pPr>
        <w:pStyle w:val="56"/>
        <w:spacing w:line="276" w:lineRule="auto"/>
        <w:ind w:left="420" w:firstLine="0" w:firstLineChars="0"/>
        <w:rPr>
          <w:rFonts w:ascii="楷体" w:hAnsi="楷体" w:eastAsia="楷体"/>
          <w:sz w:val="24"/>
          <w:szCs w:val="32"/>
        </w:rPr>
      </w:pPr>
      <w:r>
        <w:rPr>
          <w:rFonts w:hint="eastAsia" w:ascii="楷体" w:hAnsi="楷体" w:eastAsia="楷体"/>
          <w:sz w:val="24"/>
          <w:szCs w:val="32"/>
        </w:rPr>
        <w:t>说明：企业完成质量、环境、职业健康、能源，四大管理体系的建设与认证工作。</w:t>
      </w:r>
    </w:p>
    <w:p>
      <w:pPr>
        <w:pStyle w:val="56"/>
        <w:numPr>
          <w:ilvl w:val="0"/>
          <w:numId w:val="1"/>
        </w:numPr>
        <w:spacing w:line="276" w:lineRule="auto"/>
        <w:ind w:left="0" w:firstLine="0" w:firstLineChars="0"/>
        <w:rPr>
          <w:sz w:val="24"/>
          <w:szCs w:val="32"/>
        </w:rPr>
      </w:pPr>
      <w:r>
        <w:rPr>
          <w:rFonts w:hint="eastAsia"/>
          <w:sz w:val="24"/>
          <w:szCs w:val="32"/>
        </w:rPr>
        <w:t>企业应按照GB/T 35461配备能源计量器具，按照GB 24789配备水计量器具，并按相关标准要求配置污染物检测和在线监测设备</w:t>
      </w:r>
      <w:r>
        <w:rPr>
          <w:sz w:val="24"/>
          <w:szCs w:val="32"/>
        </w:rPr>
        <w:t>。</w:t>
      </w:r>
    </w:p>
    <w:p>
      <w:pPr>
        <w:pStyle w:val="56"/>
        <w:spacing w:line="276" w:lineRule="auto"/>
        <w:ind w:left="420" w:firstLine="0" w:firstLineChars="0"/>
        <w:rPr>
          <w:rFonts w:ascii="楷体" w:hAnsi="楷体" w:eastAsia="楷体"/>
          <w:sz w:val="24"/>
          <w:szCs w:val="32"/>
        </w:rPr>
      </w:pPr>
      <w:r>
        <w:rPr>
          <w:rFonts w:hint="eastAsia" w:ascii="楷体" w:hAnsi="楷体" w:eastAsia="楷体"/>
          <w:sz w:val="24"/>
          <w:szCs w:val="32"/>
        </w:rPr>
        <w:t>说明：企业应配备符合标准数量的能源及水计量器具，对于各生产环节实现监控，以实现节能节水、绿色生产。</w:t>
      </w:r>
    </w:p>
    <w:p>
      <w:pPr>
        <w:pStyle w:val="56"/>
        <w:numPr>
          <w:ilvl w:val="0"/>
          <w:numId w:val="1"/>
        </w:numPr>
        <w:spacing w:line="276" w:lineRule="auto"/>
        <w:ind w:left="0" w:firstLine="0" w:firstLineChars="0"/>
        <w:rPr>
          <w:sz w:val="24"/>
          <w:szCs w:val="32"/>
        </w:rPr>
      </w:pPr>
      <w:r>
        <w:rPr>
          <w:rFonts w:hint="eastAsia"/>
          <w:sz w:val="24"/>
          <w:szCs w:val="32"/>
        </w:rPr>
        <w:t>一般固体废物的收集、贮存、处置应符合GB 18599的相关规定。危险废物的贮存应符合GB 18597的相关规定，工厂无法自行处理的一般工业固体废物应转交给具备相应能力的处理厂进行处理。危险废物应转交给具备相应资质的处理厂进行处理，并建立处置和转移的追溯机制</w:t>
      </w:r>
      <w:r>
        <w:rPr>
          <w:sz w:val="24"/>
          <w:szCs w:val="32"/>
        </w:rPr>
        <w:t>。</w:t>
      </w:r>
    </w:p>
    <w:p>
      <w:pPr>
        <w:pStyle w:val="56"/>
        <w:spacing w:line="276" w:lineRule="auto"/>
        <w:ind w:left="420" w:firstLine="0" w:firstLineChars="0"/>
        <w:rPr>
          <w:sz w:val="24"/>
          <w:szCs w:val="32"/>
        </w:rPr>
      </w:pPr>
      <w:r>
        <w:rPr>
          <w:rFonts w:hint="eastAsia" w:ascii="楷体" w:hAnsi="楷体" w:eastAsia="楷体"/>
          <w:sz w:val="24"/>
          <w:szCs w:val="32"/>
        </w:rPr>
        <w:t>说明：企业应对一般固体废物与危险废物依照标准及相关规定要求妥善处理。</w:t>
      </w:r>
    </w:p>
    <w:p>
      <w:pPr>
        <w:pStyle w:val="56"/>
        <w:spacing w:line="276" w:lineRule="auto"/>
        <w:ind w:firstLine="0" w:firstLineChars="0"/>
        <w:rPr>
          <w:sz w:val="24"/>
          <w:szCs w:val="32"/>
        </w:rPr>
      </w:pPr>
    </w:p>
    <w:p>
      <w:pPr>
        <w:pStyle w:val="47"/>
        <w:spacing w:line="276" w:lineRule="auto"/>
        <w:rPr>
          <w:rFonts w:ascii="Times New Roman" w:hAnsi="Times New Roman" w:cs="Times New Roman"/>
          <w:sz w:val="28"/>
          <w:szCs w:val="36"/>
        </w:rPr>
      </w:pPr>
      <w:r>
        <w:rPr>
          <w:rFonts w:ascii="Times New Roman" w:hAnsi="Times New Roman" w:cs="Times New Roman"/>
          <w:sz w:val="28"/>
          <w:szCs w:val="36"/>
        </w:rPr>
        <w:t>3.2.4.2 资源属性</w:t>
      </w:r>
    </w:p>
    <w:p>
      <w:pPr>
        <w:spacing w:line="276" w:lineRule="auto"/>
        <w:ind w:firstLine="480" w:firstLineChars="200"/>
        <w:rPr>
          <w:color w:val="000000"/>
          <w:sz w:val="24"/>
          <w:szCs w:val="32"/>
        </w:rPr>
      </w:pPr>
      <w:r>
        <w:rPr>
          <w:sz w:val="24"/>
          <w:szCs w:val="32"/>
        </w:rPr>
        <w:t>资源属性从石灰石来源、</w:t>
      </w:r>
      <w:r>
        <w:rPr>
          <w:rFonts w:hint="eastAsia"/>
          <w:sz w:val="24"/>
          <w:szCs w:val="32"/>
          <w:lang w:val="en-US" w:eastAsia="zh-CN"/>
        </w:rPr>
        <w:t>原料利用粒度、燃料替代率、工业固体废物综合利用率、废水回用率</w:t>
      </w:r>
      <w:r>
        <w:rPr>
          <w:sz w:val="24"/>
          <w:szCs w:val="32"/>
        </w:rPr>
        <w:t>等方面提出指标要求，</w:t>
      </w:r>
      <w:r>
        <w:rPr>
          <w:color w:val="000000"/>
          <w:sz w:val="24"/>
          <w:szCs w:val="32"/>
        </w:rPr>
        <w:t>具体见下表。</w:t>
      </w:r>
    </w:p>
    <w:p>
      <w:pPr>
        <w:spacing w:line="276" w:lineRule="auto"/>
        <w:jc w:val="center"/>
        <w:rPr>
          <w:color w:val="000000"/>
          <w:sz w:val="24"/>
          <w:szCs w:val="32"/>
        </w:rPr>
      </w:pPr>
      <w:r>
        <w:rPr>
          <w:b/>
        </w:rPr>
        <w:t>表3-1资源属性相关指标</w:t>
      </w:r>
    </w:p>
    <w:p>
      <w:pPr>
        <w:spacing w:line="276" w:lineRule="auto"/>
        <w:ind w:firstLine="480" w:firstLineChars="200"/>
        <w:rPr>
          <w:rFonts w:hint="eastAsia"/>
          <w:color w:val="000000"/>
          <w:sz w:val="24"/>
          <w:szCs w:val="32"/>
        </w:rPr>
      </w:pPr>
    </w:p>
    <w:tbl>
      <w:tblPr>
        <w:tblStyle w:val="27"/>
        <w:tblW w:w="5000" w:type="pct"/>
        <w:tblInd w:w="0" w:type="dxa"/>
        <w:tblLayout w:type="autofit"/>
        <w:tblCellMar>
          <w:top w:w="0" w:type="dxa"/>
          <w:left w:w="108" w:type="dxa"/>
          <w:bottom w:w="0" w:type="dxa"/>
          <w:right w:w="108" w:type="dxa"/>
        </w:tblCellMar>
      </w:tblPr>
      <w:tblGrid>
        <w:gridCol w:w="680"/>
        <w:gridCol w:w="1606"/>
        <w:gridCol w:w="735"/>
        <w:gridCol w:w="2766"/>
        <w:gridCol w:w="2045"/>
        <w:gridCol w:w="690"/>
      </w:tblGrid>
      <w:tr>
        <w:tblPrEx>
          <w:tblCellMar>
            <w:top w:w="0" w:type="dxa"/>
            <w:left w:w="108" w:type="dxa"/>
            <w:bottom w:w="0" w:type="dxa"/>
            <w:right w:w="108" w:type="dxa"/>
          </w:tblCellMar>
        </w:tblPrEx>
        <w:trPr>
          <w:trHeight w:val="432" w:hRule="atLeast"/>
        </w:trPr>
        <w:tc>
          <w:tcPr>
            <w:tcW w:w="399"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一级指标</w:t>
            </w:r>
          </w:p>
        </w:tc>
        <w:tc>
          <w:tcPr>
            <w:tcW w:w="942" w:type="pct"/>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二级指标</w:t>
            </w:r>
          </w:p>
        </w:tc>
        <w:tc>
          <w:tcPr>
            <w:tcW w:w="431"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单位</w:t>
            </w:r>
          </w:p>
        </w:tc>
        <w:tc>
          <w:tcPr>
            <w:tcW w:w="1622"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基准值</w:t>
            </w:r>
          </w:p>
        </w:tc>
        <w:tc>
          <w:tcPr>
            <w:tcW w:w="1199"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判定依据</w:t>
            </w:r>
          </w:p>
        </w:tc>
        <w:tc>
          <w:tcPr>
            <w:tcW w:w="404"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所属生命周期阶段</w:t>
            </w:r>
          </w:p>
        </w:tc>
      </w:tr>
      <w:tr>
        <w:tblPrEx>
          <w:tblCellMar>
            <w:top w:w="0" w:type="dxa"/>
            <w:left w:w="108" w:type="dxa"/>
            <w:bottom w:w="0" w:type="dxa"/>
            <w:right w:w="108" w:type="dxa"/>
          </w:tblCellMar>
        </w:tblPrEx>
        <w:trPr>
          <w:trHeight w:val="456" w:hRule="atLeast"/>
        </w:trPr>
        <w:tc>
          <w:tcPr>
            <w:tcW w:w="399" w:type="pct"/>
            <w:vMerge w:val="restart"/>
            <w:tcBorders>
              <w:top w:val="single" w:color="auto" w:sz="4" w:space="0"/>
              <w:left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资源属性</w:t>
            </w:r>
          </w:p>
        </w:tc>
        <w:tc>
          <w:tcPr>
            <w:tcW w:w="942" w:type="pct"/>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石灰石来源</w:t>
            </w:r>
          </w:p>
        </w:tc>
        <w:tc>
          <w:tcPr>
            <w:tcW w:w="431" w:type="pct"/>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宋体" w:cs="Times New Roman"/>
                <w:color w:val="000000"/>
                <w:kern w:val="0"/>
                <w:sz w:val="18"/>
                <w:szCs w:val="18"/>
              </w:rPr>
            </w:pPr>
            <w:r>
              <w:rPr>
                <w:rFonts w:ascii="Times New Roman" w:hAnsi="Times New Roman" w:eastAsia="宋体" w:cs="Times New Roman"/>
                <w:color w:val="000000"/>
                <w:kern w:val="0"/>
                <w:sz w:val="18"/>
                <w:szCs w:val="18"/>
              </w:rPr>
              <w:t>-</w:t>
            </w:r>
          </w:p>
        </w:tc>
        <w:tc>
          <w:tcPr>
            <w:tcW w:w="1622"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石灰石矿山应满足绿色矿山要求</w:t>
            </w:r>
          </w:p>
        </w:tc>
        <w:tc>
          <w:tcPr>
            <w:tcW w:w="1199"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石灰石采购合同、满足绿色矿山（</w:t>
            </w:r>
            <w:r>
              <w:rPr>
                <w:rFonts w:ascii="Times New Roman" w:hAnsi="Times New Roman" w:eastAsia="宋体" w:cs="Times New Roman"/>
                <w:color w:val="000000"/>
                <w:kern w:val="0"/>
                <w:sz w:val="18"/>
                <w:szCs w:val="18"/>
              </w:rPr>
              <w:t>DZ/T 0318</w:t>
            </w:r>
            <w:r>
              <w:rPr>
                <w:rFonts w:hint="eastAsia" w:ascii="宋体" w:hAnsi="宋体" w:eastAsia="宋体" w:cs="宋体"/>
                <w:color w:val="000000"/>
                <w:kern w:val="0"/>
                <w:sz w:val="18"/>
                <w:szCs w:val="18"/>
              </w:rPr>
              <w:t>）要求的证明文件</w:t>
            </w:r>
          </w:p>
        </w:tc>
        <w:tc>
          <w:tcPr>
            <w:tcW w:w="404"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原材料获取</w:t>
            </w:r>
          </w:p>
        </w:tc>
      </w:tr>
      <w:tr>
        <w:tblPrEx>
          <w:tblCellMar>
            <w:top w:w="0" w:type="dxa"/>
            <w:left w:w="108" w:type="dxa"/>
            <w:bottom w:w="0" w:type="dxa"/>
            <w:right w:w="108" w:type="dxa"/>
          </w:tblCellMar>
        </w:tblPrEx>
        <w:trPr>
          <w:trHeight w:val="288" w:hRule="atLeast"/>
        </w:trPr>
        <w:tc>
          <w:tcPr>
            <w:tcW w:w="399" w:type="pct"/>
            <w:vMerge w:val="continue"/>
            <w:tcBorders>
              <w:left w:val="single" w:color="auto" w:sz="4" w:space="0"/>
              <w:right w:val="single" w:color="auto" w:sz="4" w:space="0"/>
            </w:tcBorders>
            <w:shd w:val="clear" w:color="auto" w:fill="auto"/>
            <w:vAlign w:val="center"/>
          </w:tcPr>
          <w:p>
            <w:pPr>
              <w:jc w:val="left"/>
              <w:rPr>
                <w:rFonts w:ascii="宋体" w:hAnsi="宋体" w:eastAsia="宋体" w:cs="宋体"/>
                <w:color w:val="000000"/>
                <w:kern w:val="0"/>
                <w:sz w:val="18"/>
                <w:szCs w:val="18"/>
              </w:rPr>
            </w:pPr>
          </w:p>
        </w:tc>
        <w:tc>
          <w:tcPr>
            <w:tcW w:w="942" w:type="pct"/>
            <w:tcBorders>
              <w:top w:val="nil"/>
              <w:left w:val="nil"/>
              <w:bottom w:val="single" w:color="auto" w:sz="4" w:space="0"/>
              <w:right w:val="single" w:color="auto" w:sz="4" w:space="0"/>
            </w:tcBorders>
            <w:shd w:val="clear" w:color="auto" w:fill="auto"/>
            <w:vAlign w:val="center"/>
          </w:tcPr>
          <w:p>
            <w:pPr>
              <w:widowControl/>
              <w:jc w:val="left"/>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原料利用粒度</w:t>
            </w:r>
          </w:p>
        </w:tc>
        <w:tc>
          <w:tcPr>
            <w:tcW w:w="431" w:type="pct"/>
            <w:tcBorders>
              <w:top w:val="nil"/>
              <w:left w:val="nil"/>
              <w:bottom w:val="single" w:color="auto" w:sz="4" w:space="0"/>
              <w:right w:val="single" w:color="auto" w:sz="4" w:space="0"/>
            </w:tcBorders>
            <w:shd w:val="clear" w:color="auto" w:fill="auto"/>
            <w:vAlign w:val="center"/>
          </w:tcPr>
          <w:p>
            <w:pPr>
              <w:widowControl/>
              <w:jc w:val="center"/>
              <w:rPr>
                <w:rFonts w:hint="default" w:ascii="Times New Roman" w:hAnsi="Times New Roman" w:eastAsia="宋体" w:cs="Times New Roman"/>
                <w:color w:val="000000"/>
                <w:kern w:val="0"/>
                <w:sz w:val="18"/>
                <w:szCs w:val="18"/>
                <w:lang w:val="en-US" w:eastAsia="zh-CN"/>
              </w:rPr>
            </w:pPr>
            <w:r>
              <w:rPr>
                <w:rFonts w:hint="eastAsia" w:ascii="Times New Roman" w:hAnsi="Times New Roman" w:eastAsia="宋体" w:cs="Times New Roman"/>
                <w:color w:val="000000"/>
                <w:kern w:val="0"/>
                <w:sz w:val="18"/>
                <w:szCs w:val="18"/>
                <w:lang w:val="en-US" w:eastAsia="zh-CN"/>
              </w:rPr>
              <w:t>mm</w:t>
            </w:r>
          </w:p>
        </w:tc>
        <w:tc>
          <w:tcPr>
            <w:tcW w:w="1622" w:type="pct"/>
            <w:tcBorders>
              <w:top w:val="nil"/>
              <w:left w:val="nil"/>
              <w:bottom w:val="single" w:color="auto" w:sz="4" w:space="0"/>
              <w:right w:val="single" w:color="auto" w:sz="4" w:space="0"/>
            </w:tcBorders>
            <w:shd w:val="clear" w:color="auto" w:fill="auto"/>
            <w:vAlign w:val="center"/>
          </w:tcPr>
          <w:p>
            <w:pPr>
              <w:widowControl/>
              <w:jc w:val="center"/>
              <w:rPr>
                <w:rFonts w:hint="default" w:ascii="宋体" w:hAnsi="宋体" w:eastAsia="宋体" w:cs="宋体"/>
                <w:color w:val="000000"/>
                <w:kern w:val="0"/>
                <w:sz w:val="18"/>
                <w:szCs w:val="18"/>
                <w:lang w:val="en-US" w:eastAsia="zh-CN"/>
              </w:rPr>
            </w:pPr>
            <w:r>
              <w:rPr>
                <w:rFonts w:hint="eastAsia" w:ascii="宋体" w:hAnsi="宋体" w:eastAsia="宋体" w:cs="宋体"/>
                <w:color w:val="000000"/>
                <w:kern w:val="0"/>
                <w:sz w:val="18"/>
                <w:szCs w:val="18"/>
                <w:lang w:val="en-US" w:eastAsia="zh-CN"/>
              </w:rPr>
              <w:t>≥</w:t>
            </w:r>
            <w:r>
              <w:rPr>
                <w:rFonts w:hint="eastAsia" w:ascii="宋体" w:hAnsi="宋体" w:cs="宋体"/>
                <w:color w:val="000000"/>
                <w:kern w:val="0"/>
                <w:sz w:val="18"/>
                <w:szCs w:val="18"/>
                <w:lang w:val="en-US" w:eastAsia="zh-CN"/>
              </w:rPr>
              <w:t>3</w:t>
            </w:r>
            <w:r>
              <w:rPr>
                <w:rFonts w:hint="eastAsia" w:ascii="宋体" w:hAnsi="宋体" w:eastAsia="宋体" w:cs="宋体"/>
                <w:color w:val="000000"/>
                <w:kern w:val="0"/>
                <w:sz w:val="18"/>
                <w:szCs w:val="18"/>
                <w:lang w:val="en-US" w:eastAsia="zh-CN"/>
              </w:rPr>
              <w:t>0mm</w:t>
            </w:r>
          </w:p>
        </w:tc>
        <w:tc>
          <w:tcPr>
            <w:tcW w:w="1199" w:type="pct"/>
            <w:tcBorders>
              <w:top w:val="nil"/>
              <w:left w:val="nil"/>
              <w:bottom w:val="single" w:color="auto" w:sz="4" w:space="0"/>
              <w:right w:val="single" w:color="auto" w:sz="4" w:space="0"/>
            </w:tcBorders>
            <w:shd w:val="clear" w:color="auto" w:fill="auto"/>
            <w:vAlign w:val="center"/>
          </w:tcPr>
          <w:p>
            <w:pPr>
              <w:widowControl/>
              <w:jc w:val="center"/>
              <w:rPr>
                <w:rFonts w:hint="default" w:ascii="Times New Roman" w:hAnsi="Times New Roman" w:eastAsia="宋体" w:cs="Times New Roman"/>
                <w:color w:val="000000"/>
                <w:kern w:val="0"/>
                <w:sz w:val="18"/>
                <w:szCs w:val="18"/>
                <w:lang w:val="en-US" w:eastAsia="zh-CN"/>
              </w:rPr>
            </w:pPr>
            <w:r>
              <w:rPr>
                <w:rFonts w:hint="eastAsia" w:ascii="宋体" w:hAnsi="宋体" w:eastAsia="宋体" w:cs="宋体"/>
                <w:color w:val="000000"/>
                <w:kern w:val="0"/>
                <w:sz w:val="18"/>
                <w:szCs w:val="18"/>
                <w:lang w:val="en-US" w:eastAsia="zh-CN"/>
              </w:rPr>
              <w:t>生产报表</w:t>
            </w:r>
          </w:p>
        </w:tc>
        <w:tc>
          <w:tcPr>
            <w:tcW w:w="404"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产品生产</w:t>
            </w:r>
          </w:p>
        </w:tc>
      </w:tr>
      <w:tr>
        <w:tblPrEx>
          <w:tblCellMar>
            <w:top w:w="0" w:type="dxa"/>
            <w:left w:w="108" w:type="dxa"/>
            <w:bottom w:w="0" w:type="dxa"/>
            <w:right w:w="108" w:type="dxa"/>
          </w:tblCellMar>
        </w:tblPrEx>
        <w:trPr>
          <w:trHeight w:val="288" w:hRule="atLeast"/>
        </w:trPr>
        <w:tc>
          <w:tcPr>
            <w:tcW w:w="399" w:type="pct"/>
            <w:vMerge w:val="continue"/>
            <w:tcBorders>
              <w:left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 w:val="18"/>
                <w:szCs w:val="18"/>
              </w:rPr>
            </w:pPr>
          </w:p>
        </w:tc>
        <w:tc>
          <w:tcPr>
            <w:tcW w:w="942" w:type="pct"/>
            <w:tcBorders>
              <w:top w:val="nil"/>
              <w:left w:val="nil"/>
              <w:bottom w:val="single" w:color="auto" w:sz="4" w:space="0"/>
              <w:right w:val="single" w:color="auto" w:sz="4" w:space="0"/>
            </w:tcBorders>
            <w:shd w:val="clear" w:color="auto" w:fill="auto"/>
            <w:vAlign w:val="center"/>
          </w:tcPr>
          <w:p>
            <w:pPr>
              <w:widowControl/>
              <w:jc w:val="left"/>
              <w:rPr>
                <w:rFonts w:hint="default" w:ascii="宋体" w:hAnsi="宋体" w:eastAsia="宋体" w:cs="宋体"/>
                <w:color w:val="000000"/>
                <w:kern w:val="0"/>
                <w:sz w:val="18"/>
                <w:szCs w:val="18"/>
                <w:lang w:val="en-US" w:eastAsia="zh-CN"/>
              </w:rPr>
            </w:pPr>
            <w:r>
              <w:rPr>
                <w:rFonts w:hint="eastAsia" w:ascii="宋体" w:hAnsi="宋体" w:eastAsia="宋体" w:cs="宋体"/>
                <w:color w:val="000000"/>
                <w:kern w:val="0"/>
                <w:sz w:val="18"/>
                <w:szCs w:val="18"/>
                <w:lang w:val="en-US" w:eastAsia="zh-CN"/>
              </w:rPr>
              <w:t>燃料替代率</w:t>
            </w:r>
          </w:p>
        </w:tc>
        <w:tc>
          <w:tcPr>
            <w:tcW w:w="431" w:type="pct"/>
            <w:tcBorders>
              <w:top w:val="nil"/>
              <w:left w:val="nil"/>
              <w:bottom w:val="single" w:color="auto" w:sz="4" w:space="0"/>
              <w:right w:val="single" w:color="auto" w:sz="4" w:space="0"/>
            </w:tcBorders>
            <w:shd w:val="clear" w:color="auto" w:fill="auto"/>
            <w:vAlign w:val="center"/>
          </w:tcPr>
          <w:p>
            <w:pPr>
              <w:widowControl/>
              <w:jc w:val="center"/>
              <w:rPr>
                <w:rFonts w:hint="eastAsia" w:ascii="Times New Roman" w:hAnsi="Times New Roman" w:eastAsia="宋体" w:cs="Times New Roman"/>
                <w:color w:val="000000"/>
                <w:kern w:val="0"/>
                <w:sz w:val="18"/>
                <w:szCs w:val="18"/>
                <w:lang w:val="en-US" w:eastAsia="zh-CN"/>
              </w:rPr>
            </w:pPr>
            <w:r>
              <w:rPr>
                <w:rFonts w:hint="eastAsia" w:ascii="Times New Roman" w:hAnsi="Times New Roman" w:eastAsia="宋体" w:cs="Times New Roman"/>
                <w:color w:val="000000"/>
                <w:kern w:val="0"/>
                <w:sz w:val="18"/>
                <w:szCs w:val="18"/>
                <w:lang w:val="en-US" w:eastAsia="zh-CN"/>
              </w:rPr>
              <w:t>%</w:t>
            </w:r>
          </w:p>
        </w:tc>
        <w:tc>
          <w:tcPr>
            <w:tcW w:w="1622" w:type="pct"/>
            <w:tcBorders>
              <w:top w:val="nil"/>
              <w:left w:val="nil"/>
              <w:bottom w:val="single" w:color="auto" w:sz="4" w:space="0"/>
              <w:right w:val="single" w:color="auto" w:sz="4" w:space="0"/>
            </w:tcBorders>
            <w:shd w:val="clear" w:color="auto" w:fill="auto"/>
            <w:vAlign w:val="center"/>
          </w:tcPr>
          <w:p>
            <w:pPr>
              <w:widowControl/>
              <w:jc w:val="center"/>
              <w:rPr>
                <w:rFonts w:hint="default" w:ascii="宋体" w:hAnsi="宋体" w:eastAsia="宋体" w:cs="宋体"/>
                <w:color w:val="000000"/>
                <w:kern w:val="0"/>
                <w:sz w:val="18"/>
                <w:szCs w:val="18"/>
                <w:lang w:val="en-US" w:eastAsia="zh-CN"/>
              </w:rPr>
            </w:pPr>
            <w:r>
              <w:rPr>
                <w:rFonts w:hint="eastAsia" w:ascii="宋体" w:hAnsi="宋体" w:eastAsia="宋体" w:cs="宋体"/>
                <w:color w:val="000000"/>
                <w:kern w:val="0"/>
                <w:sz w:val="18"/>
                <w:szCs w:val="18"/>
                <w:lang w:val="en-US" w:eastAsia="zh-CN"/>
              </w:rPr>
              <w:t>≥10</w:t>
            </w:r>
          </w:p>
        </w:tc>
        <w:tc>
          <w:tcPr>
            <w:tcW w:w="1199" w:type="pct"/>
            <w:tcBorders>
              <w:top w:val="nil"/>
              <w:left w:val="nil"/>
              <w:bottom w:val="single" w:color="auto" w:sz="4" w:space="0"/>
              <w:right w:val="single" w:color="auto" w:sz="4" w:space="0"/>
            </w:tcBorders>
            <w:shd w:val="clear" w:color="auto" w:fill="auto"/>
            <w:vAlign w:val="center"/>
          </w:tcPr>
          <w:p>
            <w:pPr>
              <w:widowControl/>
              <w:jc w:val="center"/>
              <w:rPr>
                <w:rFonts w:hint="default" w:ascii="宋体" w:hAnsi="宋体" w:eastAsia="宋体" w:cs="宋体"/>
                <w:color w:val="000000"/>
                <w:kern w:val="0"/>
                <w:sz w:val="18"/>
                <w:szCs w:val="18"/>
                <w:lang w:val="en-US" w:eastAsia="zh-CN"/>
              </w:rPr>
            </w:pPr>
            <w:r>
              <w:rPr>
                <w:rFonts w:hint="eastAsia" w:ascii="宋体" w:hAnsi="宋体" w:eastAsia="宋体" w:cs="宋体"/>
                <w:color w:val="000000"/>
                <w:kern w:val="0"/>
                <w:sz w:val="18"/>
                <w:szCs w:val="18"/>
                <w:lang w:val="en-US" w:eastAsia="zh-CN"/>
              </w:rPr>
              <w:t>生产报表</w:t>
            </w:r>
          </w:p>
        </w:tc>
        <w:tc>
          <w:tcPr>
            <w:tcW w:w="404"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产品生产</w:t>
            </w:r>
          </w:p>
        </w:tc>
      </w:tr>
      <w:tr>
        <w:tblPrEx>
          <w:tblCellMar>
            <w:top w:w="0" w:type="dxa"/>
            <w:left w:w="108" w:type="dxa"/>
            <w:bottom w:w="0" w:type="dxa"/>
            <w:right w:w="108" w:type="dxa"/>
          </w:tblCellMar>
        </w:tblPrEx>
        <w:trPr>
          <w:trHeight w:val="288" w:hRule="atLeast"/>
        </w:trPr>
        <w:tc>
          <w:tcPr>
            <w:tcW w:w="399" w:type="pct"/>
            <w:vMerge w:val="continue"/>
            <w:tcBorders>
              <w:left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 w:val="18"/>
                <w:szCs w:val="18"/>
              </w:rPr>
            </w:pPr>
          </w:p>
        </w:tc>
        <w:tc>
          <w:tcPr>
            <w:tcW w:w="942" w:type="pct"/>
            <w:tcBorders>
              <w:top w:val="nil"/>
              <w:left w:val="nil"/>
              <w:bottom w:val="single" w:color="auto" w:sz="4" w:space="0"/>
              <w:right w:val="single" w:color="auto" w:sz="4" w:space="0"/>
            </w:tcBorders>
            <w:shd w:val="clear" w:color="auto" w:fill="auto"/>
            <w:vAlign w:val="center"/>
          </w:tcPr>
          <w:p>
            <w:pPr>
              <w:widowControl/>
              <w:jc w:val="left"/>
              <w:rPr>
                <w:rFonts w:hint="default" w:ascii="宋体" w:hAnsi="宋体" w:eastAsia="宋体" w:cs="宋体"/>
                <w:color w:val="000000"/>
                <w:kern w:val="0"/>
                <w:sz w:val="18"/>
                <w:szCs w:val="18"/>
                <w:lang w:val="en-US" w:eastAsia="zh-CN"/>
              </w:rPr>
            </w:pPr>
            <w:r>
              <w:rPr>
                <w:rFonts w:hint="eastAsia" w:ascii="宋体" w:hAnsi="宋体" w:eastAsia="宋体" w:cs="宋体"/>
                <w:color w:val="000000"/>
                <w:kern w:val="0"/>
                <w:sz w:val="18"/>
                <w:szCs w:val="18"/>
                <w:lang w:val="en-US" w:eastAsia="zh-CN"/>
              </w:rPr>
              <w:t>工业固体废物综合利用率</w:t>
            </w:r>
          </w:p>
        </w:tc>
        <w:tc>
          <w:tcPr>
            <w:tcW w:w="431" w:type="pct"/>
            <w:tcBorders>
              <w:top w:val="nil"/>
              <w:left w:val="nil"/>
              <w:bottom w:val="single" w:color="auto" w:sz="4" w:space="0"/>
              <w:right w:val="single" w:color="auto" w:sz="4" w:space="0"/>
            </w:tcBorders>
            <w:shd w:val="clear" w:color="auto" w:fill="auto"/>
            <w:vAlign w:val="center"/>
          </w:tcPr>
          <w:p>
            <w:pPr>
              <w:widowControl/>
              <w:jc w:val="center"/>
              <w:rPr>
                <w:rFonts w:hint="eastAsia" w:ascii="Times New Roman" w:hAnsi="Times New Roman" w:eastAsia="宋体" w:cs="Times New Roman"/>
                <w:color w:val="000000"/>
                <w:kern w:val="0"/>
                <w:sz w:val="18"/>
                <w:szCs w:val="18"/>
                <w:lang w:val="en-US" w:eastAsia="zh-CN"/>
              </w:rPr>
            </w:pPr>
            <w:r>
              <w:rPr>
                <w:rFonts w:hint="eastAsia" w:ascii="Times New Roman" w:hAnsi="Times New Roman" w:eastAsia="宋体" w:cs="Times New Roman"/>
                <w:color w:val="000000"/>
                <w:kern w:val="0"/>
                <w:sz w:val="18"/>
                <w:szCs w:val="18"/>
                <w:lang w:val="en-US" w:eastAsia="zh-CN"/>
              </w:rPr>
              <w:t>%</w:t>
            </w:r>
          </w:p>
        </w:tc>
        <w:tc>
          <w:tcPr>
            <w:tcW w:w="1622" w:type="pct"/>
            <w:tcBorders>
              <w:top w:val="nil"/>
              <w:left w:val="nil"/>
              <w:bottom w:val="single" w:color="auto" w:sz="4" w:space="0"/>
              <w:right w:val="single" w:color="auto" w:sz="4" w:space="0"/>
            </w:tcBorders>
            <w:shd w:val="clear" w:color="auto" w:fill="auto"/>
            <w:vAlign w:val="center"/>
          </w:tcPr>
          <w:p>
            <w:pPr>
              <w:widowControl/>
              <w:jc w:val="center"/>
              <w:rPr>
                <w:rFonts w:hint="default" w:ascii="宋体" w:hAnsi="宋体" w:eastAsia="宋体" w:cs="宋体"/>
                <w:color w:val="000000"/>
                <w:kern w:val="0"/>
                <w:sz w:val="18"/>
                <w:szCs w:val="18"/>
                <w:lang w:val="en-US"/>
              </w:rPr>
            </w:pPr>
            <w:r>
              <w:rPr>
                <w:rFonts w:hint="eastAsia" w:ascii="宋体" w:hAnsi="宋体" w:eastAsia="宋体" w:cs="宋体"/>
                <w:color w:val="000000"/>
                <w:kern w:val="0"/>
                <w:sz w:val="18"/>
                <w:szCs w:val="18"/>
                <w:lang w:val="en-US" w:eastAsia="zh-CN"/>
              </w:rPr>
              <w:t>≥90</w:t>
            </w:r>
          </w:p>
        </w:tc>
        <w:tc>
          <w:tcPr>
            <w:tcW w:w="1199" w:type="pct"/>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lang w:val="en-US" w:eastAsia="zh-CN"/>
              </w:rPr>
              <w:t>生产报表</w:t>
            </w:r>
          </w:p>
        </w:tc>
        <w:tc>
          <w:tcPr>
            <w:tcW w:w="404" w:type="pct"/>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产品生产</w:t>
            </w:r>
          </w:p>
        </w:tc>
      </w:tr>
      <w:tr>
        <w:tblPrEx>
          <w:tblCellMar>
            <w:top w:w="0" w:type="dxa"/>
            <w:left w:w="108" w:type="dxa"/>
            <w:bottom w:w="0" w:type="dxa"/>
            <w:right w:w="108" w:type="dxa"/>
          </w:tblCellMar>
        </w:tblPrEx>
        <w:trPr>
          <w:trHeight w:val="288" w:hRule="atLeast"/>
        </w:trPr>
        <w:tc>
          <w:tcPr>
            <w:tcW w:w="399" w:type="pct"/>
            <w:vMerge w:val="continue"/>
            <w:tcBorders>
              <w:left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 w:val="18"/>
                <w:szCs w:val="18"/>
              </w:rPr>
            </w:pPr>
          </w:p>
        </w:tc>
        <w:tc>
          <w:tcPr>
            <w:tcW w:w="942" w:type="pct"/>
            <w:tcBorders>
              <w:top w:val="nil"/>
              <w:left w:val="nil"/>
              <w:bottom w:val="single" w:color="auto" w:sz="4" w:space="0"/>
              <w:right w:val="single" w:color="auto" w:sz="4" w:space="0"/>
            </w:tcBorders>
            <w:shd w:val="clear" w:color="auto" w:fill="auto"/>
            <w:vAlign w:val="center"/>
          </w:tcPr>
          <w:p>
            <w:pPr>
              <w:widowControl/>
              <w:jc w:val="left"/>
              <w:rPr>
                <w:rFonts w:hint="default" w:ascii="宋体" w:hAnsi="宋体" w:eastAsia="宋体" w:cs="宋体"/>
                <w:color w:val="000000"/>
                <w:kern w:val="0"/>
                <w:sz w:val="18"/>
                <w:szCs w:val="18"/>
                <w:lang w:val="en-US" w:eastAsia="zh-CN"/>
              </w:rPr>
            </w:pPr>
            <w:r>
              <w:rPr>
                <w:rFonts w:hint="eastAsia" w:ascii="宋体" w:hAnsi="宋体" w:eastAsia="宋体" w:cs="宋体"/>
                <w:color w:val="000000"/>
                <w:kern w:val="0"/>
                <w:sz w:val="18"/>
                <w:szCs w:val="18"/>
                <w:lang w:val="en-US" w:eastAsia="zh-CN"/>
              </w:rPr>
              <w:t>废水回用率</w:t>
            </w:r>
          </w:p>
        </w:tc>
        <w:tc>
          <w:tcPr>
            <w:tcW w:w="431" w:type="pct"/>
            <w:tcBorders>
              <w:top w:val="nil"/>
              <w:left w:val="nil"/>
              <w:bottom w:val="single" w:color="auto" w:sz="4" w:space="0"/>
              <w:right w:val="single" w:color="auto" w:sz="4" w:space="0"/>
            </w:tcBorders>
            <w:shd w:val="clear" w:color="auto" w:fill="auto"/>
            <w:vAlign w:val="center"/>
          </w:tcPr>
          <w:p>
            <w:pPr>
              <w:widowControl/>
              <w:jc w:val="center"/>
              <w:rPr>
                <w:rFonts w:hint="default" w:ascii="Times New Roman" w:hAnsi="Times New Roman" w:eastAsia="宋体" w:cs="Times New Roman"/>
                <w:color w:val="000000"/>
                <w:kern w:val="0"/>
                <w:sz w:val="18"/>
                <w:szCs w:val="18"/>
                <w:lang w:val="en-US" w:eastAsia="zh-CN"/>
              </w:rPr>
            </w:pPr>
            <w:r>
              <w:rPr>
                <w:rFonts w:hint="eastAsia" w:ascii="Times New Roman" w:hAnsi="Times New Roman" w:eastAsia="宋体" w:cs="Times New Roman"/>
                <w:color w:val="000000"/>
                <w:kern w:val="0"/>
                <w:sz w:val="18"/>
                <w:szCs w:val="18"/>
                <w:lang w:val="en-US" w:eastAsia="zh-CN"/>
              </w:rPr>
              <w:t>%</w:t>
            </w:r>
          </w:p>
        </w:tc>
        <w:tc>
          <w:tcPr>
            <w:tcW w:w="1622" w:type="pct"/>
            <w:tcBorders>
              <w:top w:val="nil"/>
              <w:left w:val="nil"/>
              <w:bottom w:val="single" w:color="auto" w:sz="4" w:space="0"/>
              <w:right w:val="single" w:color="auto" w:sz="4" w:space="0"/>
            </w:tcBorders>
            <w:shd w:val="clear" w:color="auto" w:fill="auto"/>
            <w:vAlign w:val="center"/>
          </w:tcPr>
          <w:p>
            <w:pPr>
              <w:widowControl/>
              <w:jc w:val="center"/>
              <w:rPr>
                <w:rFonts w:hint="default" w:ascii="宋体" w:hAnsi="宋体" w:eastAsia="宋体" w:cs="宋体"/>
                <w:color w:val="000000"/>
                <w:kern w:val="0"/>
                <w:sz w:val="18"/>
                <w:szCs w:val="18"/>
                <w:lang w:val="en-US" w:eastAsia="zh-CN"/>
              </w:rPr>
            </w:pPr>
            <w:r>
              <w:rPr>
                <w:rFonts w:hint="eastAsia" w:ascii="宋体" w:hAnsi="宋体" w:eastAsia="宋体" w:cs="宋体"/>
                <w:color w:val="000000"/>
                <w:kern w:val="0"/>
                <w:sz w:val="18"/>
                <w:szCs w:val="18"/>
                <w:lang w:val="en-US" w:eastAsia="zh-CN"/>
              </w:rPr>
              <w:t>≥90</w:t>
            </w:r>
          </w:p>
        </w:tc>
        <w:tc>
          <w:tcPr>
            <w:tcW w:w="1199" w:type="pct"/>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000000"/>
                <w:kern w:val="0"/>
                <w:sz w:val="18"/>
                <w:szCs w:val="18"/>
                <w:lang w:val="en-US" w:eastAsia="zh-CN"/>
              </w:rPr>
            </w:pPr>
            <w:r>
              <w:rPr>
                <w:rFonts w:hint="eastAsia" w:ascii="宋体" w:hAnsi="宋体" w:eastAsia="宋体" w:cs="宋体"/>
                <w:color w:val="000000"/>
                <w:kern w:val="0"/>
                <w:sz w:val="18"/>
                <w:szCs w:val="18"/>
                <w:lang w:val="en-US" w:eastAsia="zh-CN"/>
              </w:rPr>
              <w:t>生产报表</w:t>
            </w:r>
          </w:p>
        </w:tc>
        <w:tc>
          <w:tcPr>
            <w:tcW w:w="404" w:type="pct"/>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产品生产</w:t>
            </w:r>
          </w:p>
        </w:tc>
      </w:tr>
    </w:tbl>
    <w:p>
      <w:pPr>
        <w:spacing w:line="276" w:lineRule="auto"/>
        <w:ind w:firstLine="480" w:firstLineChars="200"/>
        <w:rPr>
          <w:rFonts w:hint="eastAsia"/>
          <w:color w:val="000000"/>
          <w:sz w:val="24"/>
          <w:szCs w:val="32"/>
        </w:rPr>
      </w:pPr>
    </w:p>
    <w:p>
      <w:pPr>
        <w:spacing w:line="276" w:lineRule="auto"/>
        <w:ind w:firstLine="480" w:firstLineChars="200"/>
        <w:rPr>
          <w:color w:val="000000"/>
          <w:sz w:val="24"/>
          <w:szCs w:val="32"/>
        </w:rPr>
      </w:pPr>
      <w:r>
        <w:rPr>
          <w:rFonts w:hint="eastAsia"/>
          <w:color w:val="000000"/>
          <w:sz w:val="24"/>
          <w:szCs w:val="32"/>
        </w:rPr>
        <w:t>依据绿色供应链相关要求，为提升行业绿色化水平，编制组认为</w:t>
      </w:r>
      <w:r>
        <w:rPr>
          <w:color w:val="000000"/>
          <w:sz w:val="24"/>
          <w:szCs w:val="32"/>
        </w:rPr>
        <w:t>企业生产所用石灰石应来源于具有绿色矿山资质的石灰石矿山。</w:t>
      </w:r>
    </w:p>
    <w:p>
      <w:pPr>
        <w:pStyle w:val="36"/>
        <w:ind w:firstLine="480"/>
        <w:rPr>
          <w:rFonts w:hint="default" w:ascii="Times New Roman" w:eastAsia="宋体"/>
          <w:sz w:val="24"/>
          <w:szCs w:val="22"/>
          <w:lang w:val="en-US" w:eastAsia="zh-CN"/>
        </w:rPr>
      </w:pPr>
      <w:r>
        <w:rPr>
          <w:rFonts w:hint="eastAsia" w:ascii="Times New Roman"/>
          <w:sz w:val="24"/>
          <w:szCs w:val="22"/>
          <w:lang w:val="en-US" w:eastAsia="zh-CN"/>
        </w:rPr>
        <w:t>原料利用粒度，石灰行业原料利用粒度越小表示原材料利用效率越高，《石灰行业清洁生产评价标准》（T/CLA００２－２０１）中规定，一级基准值为≥10mm，二级基准值为≥30mm、三级基准值为≥40mm，结合现场调研，本标准将原料利用粒度取值为10mm，与清洁生产评价指标的二级基准值保持一致。</w:t>
      </w:r>
    </w:p>
    <w:p>
      <w:pPr>
        <w:pStyle w:val="36"/>
        <w:ind w:firstLine="480"/>
        <w:rPr>
          <w:rFonts w:ascii="Times New Roman"/>
          <w:sz w:val="24"/>
          <w:szCs w:val="22"/>
        </w:rPr>
      </w:pPr>
      <w:r>
        <w:rPr>
          <w:rFonts w:hint="eastAsia" w:ascii="Times New Roman"/>
          <w:sz w:val="24"/>
          <w:szCs w:val="22"/>
        </w:rPr>
        <w:t>燃料替代率：据统计目前中国</w:t>
      </w:r>
      <w:r>
        <w:rPr>
          <w:rFonts w:hint="eastAsia" w:ascii="Times New Roman"/>
          <w:sz w:val="24"/>
          <w:szCs w:val="22"/>
          <w:lang w:eastAsia="zh-CN"/>
        </w:rPr>
        <w:t>石灰</w:t>
      </w:r>
      <w:r>
        <w:rPr>
          <w:rFonts w:hint="eastAsia" w:ascii="Times New Roman"/>
          <w:sz w:val="24"/>
          <w:szCs w:val="22"/>
        </w:rPr>
        <w:t>行业的燃料主要为煤和天然气，采用替代燃料的时间短，燃料种类少，</w:t>
      </w:r>
      <w:r>
        <w:rPr>
          <w:rFonts w:hint="eastAsia" w:ascii="Times New Roman"/>
          <w:sz w:val="24"/>
          <w:szCs w:val="22"/>
          <w:lang w:val="en-US" w:eastAsia="zh-CN"/>
        </w:rPr>
        <w:t>主要有兰碳粉、焦粉、高炉煤气、转炉煤气、焦炉煤气、矿热炉尾气</w:t>
      </w:r>
      <w:r>
        <w:rPr>
          <w:rFonts w:hint="eastAsia" w:ascii="Times New Roman"/>
          <w:sz w:val="24"/>
          <w:szCs w:val="22"/>
        </w:rPr>
        <w:t>等</w:t>
      </w:r>
      <w:r>
        <w:rPr>
          <w:rFonts w:hint="eastAsia" w:ascii="Times New Roman"/>
          <w:sz w:val="24"/>
          <w:szCs w:val="22"/>
          <w:lang w:eastAsia="zh-CN"/>
        </w:rPr>
        <w:t>，</w:t>
      </w:r>
      <w:r>
        <w:rPr>
          <w:rFonts w:hint="eastAsia" w:ascii="Times New Roman"/>
          <w:sz w:val="24"/>
          <w:szCs w:val="22"/>
          <w:lang w:val="en-US" w:eastAsia="zh-CN"/>
        </w:rPr>
        <w:t>替代率的计算公式为热值百分比，而不是质量百分比。通过调研可知，行业内燃料替代情况较少。</w:t>
      </w:r>
      <w:r>
        <w:rPr>
          <w:rFonts w:hint="eastAsia" w:ascii="Times New Roman"/>
          <w:sz w:val="24"/>
          <w:szCs w:val="22"/>
        </w:rPr>
        <w:t>结合</w:t>
      </w:r>
      <w:commentRangeStart w:id="0"/>
      <w:r>
        <w:rPr>
          <w:rFonts w:hint="eastAsia" w:ascii="Times New Roman"/>
          <w:sz w:val="24"/>
          <w:szCs w:val="22"/>
          <w:lang w:val="en-US" w:eastAsia="zh-CN"/>
        </w:rPr>
        <w:t>调研</w:t>
      </w:r>
      <w:commentRangeEnd w:id="0"/>
      <w:r>
        <w:commentReference w:id="0"/>
      </w:r>
      <w:r>
        <w:rPr>
          <w:rFonts w:hint="eastAsia" w:ascii="Times New Roman"/>
          <w:sz w:val="24"/>
          <w:szCs w:val="22"/>
        </w:rPr>
        <w:t>，编制组将燃料替代率指标定位大于</w:t>
      </w:r>
      <w:r>
        <w:rPr>
          <w:rFonts w:hint="eastAsia" w:ascii="Times New Roman"/>
          <w:sz w:val="24"/>
          <w:szCs w:val="22"/>
          <w:lang w:val="en-US" w:eastAsia="zh-CN"/>
        </w:rPr>
        <w:t>5</w:t>
      </w:r>
      <w:r>
        <w:rPr>
          <w:rFonts w:hint="eastAsia" w:ascii="Times New Roman"/>
          <w:sz w:val="24"/>
          <w:szCs w:val="22"/>
        </w:rPr>
        <w:t>%，生产中使用了替代燃料即可。</w:t>
      </w:r>
    </w:p>
    <w:p>
      <w:pPr>
        <w:pStyle w:val="36"/>
        <w:ind w:firstLine="480"/>
        <w:rPr>
          <w:rFonts w:ascii="Times New Roman"/>
          <w:sz w:val="24"/>
          <w:szCs w:val="22"/>
        </w:rPr>
      </w:pPr>
      <w:r>
        <w:rPr>
          <w:rFonts w:hint="eastAsia" w:ascii="Times New Roman"/>
          <w:sz w:val="24"/>
          <w:szCs w:val="22"/>
        </w:rPr>
        <w:t>编制组通过对行业内</w:t>
      </w:r>
      <w:r>
        <w:rPr>
          <w:rFonts w:hint="eastAsia" w:ascii="Times New Roman"/>
          <w:sz w:val="24"/>
          <w:szCs w:val="22"/>
          <w:lang w:eastAsia="zh-CN"/>
        </w:rPr>
        <w:t>石灰</w:t>
      </w:r>
      <w:r>
        <w:rPr>
          <w:rFonts w:hint="eastAsia" w:ascii="Times New Roman"/>
          <w:sz w:val="24"/>
          <w:szCs w:val="22"/>
        </w:rPr>
        <w:t>生产企业资源综合利用的调研工作，同时结合</w:t>
      </w:r>
      <w:r>
        <w:rPr>
          <w:rFonts w:hint="eastAsia" w:ascii="Times New Roman"/>
          <w:sz w:val="24"/>
          <w:szCs w:val="22"/>
          <w:lang w:eastAsia="zh-CN"/>
        </w:rPr>
        <w:t>石灰</w:t>
      </w:r>
      <w:r>
        <w:rPr>
          <w:rFonts w:hint="eastAsia" w:ascii="Times New Roman"/>
          <w:sz w:val="24"/>
          <w:szCs w:val="22"/>
        </w:rPr>
        <w:t>行业绿色工厂标准指标内容，</w:t>
      </w:r>
      <w:r>
        <w:rPr>
          <w:rFonts w:hint="eastAsia" w:ascii="Times New Roman"/>
          <w:sz w:val="24"/>
          <w:szCs w:val="22"/>
          <w:lang w:val="en-US" w:eastAsia="zh-CN"/>
        </w:rPr>
        <w:t>石灰行业的原材料主要为石灰石，考虑到行业的特殊性，故对工业固体废物综合利用率</w:t>
      </w:r>
      <w:r>
        <w:rPr>
          <w:rFonts w:hint="eastAsia" w:ascii="Times New Roman"/>
          <w:sz w:val="24"/>
          <w:szCs w:val="22"/>
        </w:rPr>
        <w:t>进行了规定</w:t>
      </w:r>
      <w:r>
        <w:rPr>
          <w:rFonts w:hint="eastAsia" w:ascii="Times New Roman"/>
          <w:sz w:val="24"/>
          <w:szCs w:val="22"/>
          <w:lang w:eastAsia="zh-CN"/>
        </w:rPr>
        <w:t>，</w:t>
      </w:r>
      <w:r>
        <w:rPr>
          <w:rFonts w:hint="eastAsia" w:ascii="Times New Roman"/>
          <w:sz w:val="24"/>
          <w:szCs w:val="22"/>
          <w:lang w:val="en-US" w:eastAsia="zh-CN"/>
        </w:rPr>
        <w:t>对于石灰行业来说，固废包括但不限于除尘灰、筛下料等</w:t>
      </w:r>
      <w:r>
        <w:rPr>
          <w:rFonts w:hint="eastAsia" w:ascii="Times New Roman"/>
          <w:sz w:val="24"/>
          <w:szCs w:val="22"/>
        </w:rPr>
        <w:t>。</w:t>
      </w:r>
    </w:p>
    <w:p>
      <w:pPr>
        <w:spacing w:line="276" w:lineRule="auto"/>
        <w:ind w:firstLine="480" w:firstLineChars="200"/>
        <w:rPr>
          <w:color w:val="000000"/>
          <w:sz w:val="24"/>
          <w:szCs w:val="32"/>
        </w:rPr>
      </w:pPr>
      <w:r>
        <w:rPr>
          <w:rFonts w:hint="eastAsia"/>
          <w:color w:val="000000"/>
          <w:sz w:val="24"/>
          <w:szCs w:val="32"/>
          <w:lang w:val="en-US" w:eastAsia="zh-CN"/>
        </w:rPr>
        <w:t>工业废水回用率，石灰行业生产用水主要为循环冷却水和余热发电用水，冷却水可回收并进行处理后循环利用，</w:t>
      </w:r>
      <w:commentRangeStart w:id="1"/>
      <w:r>
        <w:rPr>
          <w:rFonts w:hint="eastAsia"/>
          <w:color w:val="000000"/>
          <w:sz w:val="24"/>
          <w:szCs w:val="32"/>
          <w:lang w:val="en-US" w:eastAsia="zh-CN"/>
        </w:rPr>
        <w:t>通过现场调研及问卷调研，</w:t>
      </w:r>
      <w:commentRangeEnd w:id="1"/>
      <w:r>
        <w:commentReference w:id="1"/>
      </w:r>
      <w:r>
        <w:rPr>
          <w:rFonts w:hint="eastAsia"/>
          <w:color w:val="000000"/>
          <w:sz w:val="24"/>
          <w:szCs w:val="32"/>
          <w:lang w:val="en-US" w:eastAsia="zh-CN"/>
        </w:rPr>
        <w:t>将数值定为≥90%。</w:t>
      </w:r>
    </w:p>
    <w:p>
      <w:pPr>
        <w:pStyle w:val="47"/>
        <w:spacing w:line="276" w:lineRule="auto"/>
        <w:rPr>
          <w:rFonts w:ascii="Times New Roman" w:hAnsi="Times New Roman" w:cs="Times New Roman"/>
          <w:sz w:val="28"/>
          <w:szCs w:val="36"/>
        </w:rPr>
      </w:pPr>
      <w:r>
        <w:rPr>
          <w:rFonts w:ascii="Times New Roman" w:hAnsi="Times New Roman" w:cs="Times New Roman"/>
          <w:sz w:val="28"/>
          <w:szCs w:val="36"/>
        </w:rPr>
        <w:t>3.2.4.3 能源属性</w:t>
      </w:r>
    </w:p>
    <w:p>
      <w:pPr>
        <w:spacing w:line="276" w:lineRule="auto"/>
        <w:ind w:firstLine="480" w:firstLineChars="200"/>
        <w:rPr>
          <w:color w:val="000000"/>
          <w:sz w:val="24"/>
          <w:szCs w:val="32"/>
        </w:rPr>
      </w:pPr>
      <w:r>
        <w:rPr>
          <w:sz w:val="24"/>
          <w:szCs w:val="32"/>
        </w:rPr>
        <w:t>能源属性从</w:t>
      </w:r>
      <w:r>
        <w:rPr>
          <w:rFonts w:hint="eastAsia"/>
          <w:sz w:val="24"/>
          <w:szCs w:val="32"/>
        </w:rPr>
        <w:t>煅烧工序热耗（折算到生烧率5%）</w:t>
      </w:r>
      <w:r>
        <w:rPr>
          <w:rFonts w:hint="eastAsia"/>
          <w:sz w:val="24"/>
          <w:szCs w:val="32"/>
          <w:lang w:eastAsia="zh-CN"/>
        </w:rPr>
        <w:t>、</w:t>
      </w:r>
      <w:r>
        <w:rPr>
          <w:rFonts w:hint="eastAsia"/>
          <w:sz w:val="24"/>
          <w:szCs w:val="32"/>
        </w:rPr>
        <w:t>煅烧工序电耗（折算到生烧率5%）</w:t>
      </w:r>
      <w:r>
        <w:rPr>
          <w:sz w:val="24"/>
          <w:szCs w:val="32"/>
        </w:rPr>
        <w:t>等方面提出指标要求，</w:t>
      </w:r>
      <w:r>
        <w:rPr>
          <w:color w:val="000000"/>
          <w:sz w:val="24"/>
          <w:szCs w:val="32"/>
        </w:rPr>
        <w:t>具体见下表。</w:t>
      </w:r>
    </w:p>
    <w:p>
      <w:pPr>
        <w:spacing w:line="276" w:lineRule="auto"/>
        <w:jc w:val="center"/>
        <w:rPr>
          <w:color w:val="000000"/>
          <w:sz w:val="24"/>
          <w:szCs w:val="32"/>
        </w:rPr>
      </w:pPr>
      <w:r>
        <w:rPr>
          <w:b/>
        </w:rPr>
        <w:t>表3-2能源属性相关指标</w:t>
      </w:r>
    </w:p>
    <w:tbl>
      <w:tblPr>
        <w:tblStyle w:val="28"/>
        <w:tblW w:w="5001"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81"/>
        <w:gridCol w:w="2709"/>
        <w:gridCol w:w="787"/>
        <w:gridCol w:w="1444"/>
        <w:gridCol w:w="1563"/>
        <w:gridCol w:w="143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86" w:type="pct"/>
            <w:tcBorders>
              <w:top w:val="single" w:color="000000" w:sz="4" w:space="0"/>
              <w:left w:val="single" w:color="auto" w:sz="4" w:space="0"/>
              <w:bottom w:val="single" w:color="auto" w:sz="4" w:space="0"/>
              <w:right w:val="single" w:color="auto" w:sz="4" w:space="0"/>
            </w:tcBorders>
            <w:tcMar>
              <w:top w:w="0" w:type="dxa"/>
              <w:left w:w="57" w:type="dxa"/>
              <w:bottom w:w="0" w:type="dxa"/>
              <w:right w:w="57" w:type="dxa"/>
            </w:tcMar>
            <w:vAlign w:val="center"/>
          </w:tcPr>
          <w:p>
            <w:pPr>
              <w:pStyle w:val="55"/>
              <w:adjustRightInd w:val="0"/>
              <w:snapToGrid w:val="0"/>
              <w:spacing w:before="156" w:after="120" w:line="276" w:lineRule="auto"/>
              <w:jc w:val="center"/>
              <w:rPr>
                <w:rFonts w:ascii="Times New Roman" w:eastAsia="宋体"/>
                <w:sz w:val="18"/>
                <w:szCs w:val="18"/>
              </w:rPr>
            </w:pPr>
          </w:p>
        </w:tc>
        <w:tc>
          <w:tcPr>
            <w:tcW w:w="1608" w:type="pct"/>
            <w:tcBorders>
              <w:top w:val="single" w:color="auto" w:sz="4" w:space="0"/>
              <w:left w:val="single" w:color="auto" w:sz="4" w:space="0"/>
              <w:bottom w:val="single" w:color="auto" w:sz="4" w:space="0"/>
              <w:right w:val="single" w:color="auto" w:sz="4" w:space="0"/>
            </w:tcBorders>
            <w:tcMar>
              <w:top w:w="0" w:type="dxa"/>
              <w:left w:w="57" w:type="dxa"/>
              <w:bottom w:w="0" w:type="dxa"/>
              <w:right w:w="57" w:type="dxa"/>
            </w:tcMar>
            <w:vAlign w:val="center"/>
          </w:tcPr>
          <w:p>
            <w:pPr>
              <w:pStyle w:val="55"/>
              <w:adjustRightInd w:val="0"/>
              <w:snapToGrid w:val="0"/>
              <w:spacing w:before="156" w:after="120" w:line="276" w:lineRule="auto"/>
              <w:jc w:val="center"/>
              <w:rPr>
                <w:rFonts w:ascii="Times New Roman" w:eastAsia="宋体"/>
                <w:sz w:val="18"/>
                <w:szCs w:val="18"/>
              </w:rPr>
            </w:pPr>
            <w:r>
              <w:rPr>
                <w:rFonts w:hint="eastAsia" w:ascii="Times New Roman" w:eastAsia="宋体"/>
                <w:sz w:val="18"/>
                <w:szCs w:val="18"/>
              </w:rPr>
              <w:t>二级指标</w:t>
            </w:r>
          </w:p>
        </w:tc>
        <w:tc>
          <w:tcPr>
            <w:tcW w:w="467" w:type="pct"/>
            <w:tcBorders>
              <w:top w:val="single" w:color="auto" w:sz="4" w:space="0"/>
              <w:left w:val="single" w:color="auto" w:sz="4" w:space="0"/>
              <w:bottom w:val="single" w:color="auto" w:sz="4" w:space="0"/>
              <w:right w:val="single" w:color="auto" w:sz="4" w:space="0"/>
            </w:tcBorders>
            <w:tcMar>
              <w:top w:w="0" w:type="dxa"/>
              <w:left w:w="57" w:type="dxa"/>
              <w:bottom w:w="0" w:type="dxa"/>
              <w:right w:w="57" w:type="dxa"/>
            </w:tcMar>
            <w:vAlign w:val="center"/>
          </w:tcPr>
          <w:p>
            <w:pPr>
              <w:pStyle w:val="55"/>
              <w:adjustRightInd w:val="0"/>
              <w:snapToGrid w:val="0"/>
              <w:spacing w:before="156" w:after="120" w:line="276" w:lineRule="auto"/>
              <w:jc w:val="center"/>
              <w:rPr>
                <w:rFonts w:ascii="Times New Roman" w:eastAsia="宋体"/>
                <w:sz w:val="18"/>
                <w:szCs w:val="18"/>
              </w:rPr>
            </w:pPr>
            <w:r>
              <w:rPr>
                <w:rFonts w:hint="eastAsia" w:ascii="Times New Roman" w:eastAsia="宋体"/>
                <w:sz w:val="18"/>
                <w:szCs w:val="18"/>
              </w:rPr>
              <w:t>单位</w:t>
            </w:r>
          </w:p>
        </w:tc>
        <w:tc>
          <w:tcPr>
            <w:tcW w:w="857" w:type="pct"/>
            <w:tcBorders>
              <w:top w:val="single" w:color="auto" w:sz="4" w:space="0"/>
              <w:left w:val="single" w:color="auto" w:sz="4" w:space="0"/>
              <w:bottom w:val="single" w:color="auto" w:sz="4" w:space="0"/>
              <w:right w:val="single" w:color="auto" w:sz="4" w:space="0"/>
            </w:tcBorders>
            <w:tcMar>
              <w:top w:w="0" w:type="dxa"/>
              <w:left w:w="57" w:type="dxa"/>
              <w:bottom w:w="0" w:type="dxa"/>
              <w:right w:w="57" w:type="dxa"/>
            </w:tcMar>
            <w:vAlign w:val="center"/>
          </w:tcPr>
          <w:p>
            <w:pPr>
              <w:pStyle w:val="55"/>
              <w:adjustRightInd w:val="0"/>
              <w:snapToGrid w:val="0"/>
              <w:spacing w:before="156" w:after="120" w:line="276" w:lineRule="auto"/>
              <w:jc w:val="center"/>
              <w:rPr>
                <w:rFonts w:ascii="Times New Roman" w:eastAsia="宋体"/>
                <w:sz w:val="18"/>
                <w:szCs w:val="18"/>
              </w:rPr>
            </w:pPr>
            <w:r>
              <w:rPr>
                <w:rFonts w:hint="eastAsia" w:ascii="Times New Roman" w:eastAsia="宋体"/>
                <w:sz w:val="18"/>
                <w:szCs w:val="18"/>
              </w:rPr>
              <w:t>基准值</w:t>
            </w:r>
          </w:p>
        </w:tc>
        <w:tc>
          <w:tcPr>
            <w:tcW w:w="928" w:type="pct"/>
            <w:tcBorders>
              <w:top w:val="single" w:color="auto" w:sz="4" w:space="0"/>
              <w:left w:val="single" w:color="auto" w:sz="4" w:space="0"/>
              <w:bottom w:val="single" w:color="auto" w:sz="4" w:space="0"/>
              <w:right w:val="single" w:color="auto" w:sz="4" w:space="0"/>
            </w:tcBorders>
            <w:tcMar>
              <w:top w:w="0" w:type="dxa"/>
              <w:left w:w="57" w:type="dxa"/>
              <w:bottom w:w="0" w:type="dxa"/>
              <w:right w:w="57" w:type="dxa"/>
            </w:tcMar>
            <w:vAlign w:val="center"/>
          </w:tcPr>
          <w:p>
            <w:pPr>
              <w:pStyle w:val="55"/>
              <w:adjustRightInd w:val="0"/>
              <w:snapToGrid w:val="0"/>
              <w:spacing w:before="156" w:after="120" w:line="276" w:lineRule="auto"/>
              <w:jc w:val="center"/>
              <w:rPr>
                <w:rFonts w:ascii="Times New Roman" w:eastAsia="宋体"/>
                <w:sz w:val="18"/>
                <w:szCs w:val="18"/>
              </w:rPr>
            </w:pPr>
            <w:r>
              <w:rPr>
                <w:rFonts w:hint="eastAsia" w:ascii="Times New Roman" w:eastAsia="宋体"/>
                <w:sz w:val="18"/>
                <w:szCs w:val="18"/>
              </w:rPr>
              <w:t>判定依据</w:t>
            </w:r>
          </w:p>
        </w:tc>
        <w:tc>
          <w:tcPr>
            <w:tcW w:w="854" w:type="pct"/>
            <w:tcBorders>
              <w:top w:val="single" w:color="auto" w:sz="4" w:space="0"/>
              <w:left w:val="single" w:color="auto" w:sz="4" w:space="0"/>
              <w:bottom w:val="single" w:color="auto" w:sz="4" w:space="0"/>
              <w:right w:val="single" w:color="auto" w:sz="4" w:space="0"/>
            </w:tcBorders>
            <w:tcMar>
              <w:top w:w="0" w:type="dxa"/>
              <w:left w:w="57" w:type="dxa"/>
              <w:bottom w:w="0" w:type="dxa"/>
              <w:right w:w="57" w:type="dxa"/>
            </w:tcMar>
            <w:vAlign w:val="center"/>
          </w:tcPr>
          <w:p>
            <w:pPr>
              <w:pStyle w:val="55"/>
              <w:adjustRightInd w:val="0"/>
              <w:snapToGrid w:val="0"/>
              <w:spacing w:before="156" w:after="120" w:line="276" w:lineRule="auto"/>
              <w:jc w:val="center"/>
              <w:rPr>
                <w:rFonts w:ascii="Times New Roman" w:eastAsia="宋体"/>
                <w:sz w:val="18"/>
                <w:szCs w:val="18"/>
              </w:rPr>
            </w:pPr>
            <w:r>
              <w:rPr>
                <w:rFonts w:hint="eastAsia" w:ascii="Times New Roman" w:eastAsia="宋体"/>
                <w:sz w:val="18"/>
                <w:szCs w:val="18"/>
              </w:rPr>
              <w:t>所属生命周期阶段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86" w:type="pct"/>
            <w:vMerge w:val="restart"/>
            <w:tcBorders>
              <w:top w:val="single" w:color="auto" w:sz="4" w:space="0"/>
              <w:left w:val="single" w:color="auto" w:sz="4" w:space="0"/>
              <w:bottom w:val="single" w:color="auto" w:sz="4" w:space="0"/>
              <w:right w:val="single" w:color="auto" w:sz="4" w:space="0"/>
            </w:tcBorders>
            <w:tcMar>
              <w:top w:w="0" w:type="dxa"/>
              <w:left w:w="57" w:type="dxa"/>
              <w:bottom w:w="0" w:type="dxa"/>
              <w:right w:w="57" w:type="dxa"/>
            </w:tcMar>
            <w:vAlign w:val="center"/>
          </w:tcPr>
          <w:p>
            <w:pPr>
              <w:pStyle w:val="55"/>
              <w:adjustRightInd w:val="0"/>
              <w:snapToGrid w:val="0"/>
              <w:spacing w:before="156" w:after="120" w:line="276" w:lineRule="auto"/>
              <w:jc w:val="center"/>
              <w:rPr>
                <w:rFonts w:ascii="Times New Roman" w:eastAsia="宋体"/>
                <w:sz w:val="18"/>
                <w:szCs w:val="18"/>
              </w:rPr>
            </w:pPr>
            <w:r>
              <w:rPr>
                <w:rFonts w:hint="eastAsia" w:ascii="Times New Roman" w:eastAsia="宋体"/>
                <w:sz w:val="18"/>
                <w:szCs w:val="18"/>
              </w:rPr>
              <w:t>能源属性</w:t>
            </w:r>
          </w:p>
        </w:tc>
        <w:tc>
          <w:tcPr>
            <w:tcW w:w="2709" w:type="dxa"/>
            <w:tcBorders>
              <w:top w:val="single" w:color="auto" w:sz="4" w:space="0"/>
              <w:left w:val="single" w:color="auto" w:sz="4" w:space="0"/>
              <w:bottom w:val="single" w:color="auto" w:sz="4" w:space="0"/>
              <w:right w:val="single" w:color="auto" w:sz="4" w:space="0"/>
            </w:tcBorders>
            <w:tcMar>
              <w:top w:w="0" w:type="dxa"/>
              <w:left w:w="57" w:type="dxa"/>
              <w:bottom w:w="0" w:type="dxa"/>
              <w:right w:w="57" w:type="dxa"/>
            </w:tcMar>
            <w:vAlign w:val="center"/>
          </w:tcPr>
          <w:p>
            <w:pPr>
              <w:widowControl/>
              <w:jc w:val="left"/>
              <w:rPr>
                <w:rFonts w:ascii="Times New Roman" w:eastAsia="宋体"/>
                <w:strike/>
                <w:sz w:val="18"/>
                <w:szCs w:val="18"/>
              </w:rPr>
            </w:pPr>
            <w:r>
              <w:rPr>
                <w:rFonts w:hint="eastAsia" w:ascii="宋体" w:hAnsi="宋体" w:eastAsia="宋体" w:cs="宋体"/>
                <w:color w:val="000000"/>
                <w:kern w:val="0"/>
                <w:sz w:val="18"/>
                <w:szCs w:val="18"/>
              </w:rPr>
              <w:t>煅烧工序热耗（</w:t>
            </w:r>
            <w:r>
              <w:rPr>
                <w:rFonts w:hint="eastAsia" w:ascii="宋体" w:hAnsi="宋体" w:eastAsia="宋体" w:cs="宋体"/>
                <w:color w:val="000000"/>
                <w:kern w:val="0"/>
                <w:sz w:val="18"/>
                <w:szCs w:val="18"/>
                <w:lang w:val="en-US" w:eastAsia="zh-CN"/>
              </w:rPr>
              <w:t>折算到生烧率</w:t>
            </w:r>
            <w:r>
              <w:rPr>
                <w:rFonts w:hint="eastAsia" w:ascii="宋体" w:hAnsi="宋体" w:eastAsia="宋体" w:cs="宋体"/>
                <w:color w:val="000000"/>
                <w:kern w:val="0"/>
                <w:sz w:val="18"/>
                <w:szCs w:val="18"/>
              </w:rPr>
              <w:t>5%）</w:t>
            </w:r>
          </w:p>
        </w:tc>
        <w:tc>
          <w:tcPr>
            <w:tcW w:w="787" w:type="dxa"/>
            <w:tcBorders>
              <w:top w:val="single" w:color="auto" w:sz="4" w:space="0"/>
              <w:left w:val="single" w:color="auto" w:sz="4" w:space="0"/>
              <w:bottom w:val="single" w:color="auto" w:sz="4" w:space="0"/>
              <w:right w:val="single" w:color="auto" w:sz="4" w:space="0"/>
            </w:tcBorders>
            <w:tcMar>
              <w:top w:w="0" w:type="dxa"/>
              <w:left w:w="57" w:type="dxa"/>
              <w:bottom w:w="0" w:type="dxa"/>
              <w:right w:w="57" w:type="dxa"/>
            </w:tcMar>
            <w:vAlign w:val="center"/>
          </w:tcPr>
          <w:p>
            <w:pPr>
              <w:widowControl/>
              <w:jc w:val="center"/>
              <w:rPr>
                <w:rFonts w:ascii="Times New Roman" w:eastAsia="宋体"/>
                <w:strike/>
                <w:sz w:val="18"/>
                <w:szCs w:val="18"/>
              </w:rPr>
            </w:pPr>
            <w:r>
              <w:rPr>
                <w:rFonts w:ascii="Times New Roman" w:hAnsi="Times New Roman" w:eastAsia="宋体" w:cs="Times New Roman"/>
                <w:color w:val="000000"/>
                <w:kern w:val="0"/>
                <w:sz w:val="18"/>
                <w:szCs w:val="18"/>
              </w:rPr>
              <w:t>kgce/t</w:t>
            </w:r>
          </w:p>
        </w:tc>
        <w:tc>
          <w:tcPr>
            <w:tcW w:w="1444" w:type="dxa"/>
            <w:tcBorders>
              <w:top w:val="single" w:color="auto" w:sz="4" w:space="0"/>
              <w:left w:val="single" w:color="auto" w:sz="4" w:space="0"/>
              <w:bottom w:val="single" w:color="auto" w:sz="4" w:space="0"/>
              <w:right w:val="single" w:color="auto" w:sz="4" w:space="0"/>
            </w:tcBorders>
            <w:tcMar>
              <w:top w:w="0" w:type="dxa"/>
              <w:left w:w="57" w:type="dxa"/>
              <w:bottom w:w="0" w:type="dxa"/>
              <w:right w:w="57" w:type="dxa"/>
            </w:tcMar>
            <w:vAlign w:val="center"/>
          </w:tcPr>
          <w:p>
            <w:pPr>
              <w:widowControl/>
              <w:jc w:val="center"/>
              <w:rPr>
                <w:rFonts w:ascii="Times New Roman" w:eastAsia="宋体"/>
                <w:strike/>
                <w:sz w:val="18"/>
                <w:szCs w:val="18"/>
              </w:rPr>
            </w:pPr>
            <w:r>
              <w:rPr>
                <w:rFonts w:hint="eastAsia" w:ascii="宋体" w:hAnsi="宋体" w:eastAsia="宋体" w:cs="宋体"/>
                <w:color w:val="000000"/>
                <w:kern w:val="0"/>
                <w:sz w:val="18"/>
                <w:szCs w:val="18"/>
              </w:rPr>
              <w:t>回转窑不高于1</w:t>
            </w:r>
            <w:r>
              <w:rPr>
                <w:rFonts w:hint="eastAsia" w:ascii="宋体" w:hAnsi="宋体" w:eastAsia="宋体" w:cs="宋体"/>
                <w:color w:val="000000"/>
                <w:kern w:val="0"/>
                <w:sz w:val="18"/>
                <w:szCs w:val="18"/>
                <w:lang w:val="en-US" w:eastAsia="zh-CN"/>
              </w:rPr>
              <w:t>6</w:t>
            </w:r>
            <w:r>
              <w:rPr>
                <w:rFonts w:hint="eastAsia" w:ascii="宋体" w:hAnsi="宋体" w:eastAsia="宋体" w:cs="宋体"/>
                <w:color w:val="000000"/>
                <w:kern w:val="0"/>
                <w:sz w:val="18"/>
                <w:szCs w:val="18"/>
              </w:rPr>
              <w:t>5 kgce/t、竖窑不高于1</w:t>
            </w:r>
            <w:r>
              <w:rPr>
                <w:rFonts w:hint="eastAsia" w:ascii="宋体" w:hAnsi="宋体" w:cs="宋体"/>
                <w:color w:val="000000"/>
                <w:kern w:val="0"/>
                <w:sz w:val="18"/>
                <w:szCs w:val="18"/>
                <w:lang w:val="en-US" w:eastAsia="zh-CN"/>
              </w:rPr>
              <w:t>40</w:t>
            </w:r>
            <w:r>
              <w:rPr>
                <w:rFonts w:hint="eastAsia" w:ascii="宋体" w:hAnsi="宋体" w:eastAsia="宋体" w:cs="宋体"/>
                <w:color w:val="000000"/>
                <w:kern w:val="0"/>
                <w:sz w:val="18"/>
                <w:szCs w:val="18"/>
              </w:rPr>
              <w:t xml:space="preserve"> kgce/t</w:t>
            </w:r>
          </w:p>
        </w:tc>
        <w:tc>
          <w:tcPr>
            <w:tcW w:w="928" w:type="pct"/>
            <w:tcBorders>
              <w:top w:val="single" w:color="auto" w:sz="4" w:space="0"/>
              <w:left w:val="single" w:color="auto" w:sz="4" w:space="0"/>
              <w:bottom w:val="single" w:color="auto" w:sz="4" w:space="0"/>
              <w:right w:val="single" w:color="auto" w:sz="4" w:space="0"/>
            </w:tcBorders>
            <w:tcMar>
              <w:top w:w="0" w:type="dxa"/>
              <w:left w:w="57" w:type="dxa"/>
              <w:bottom w:w="0" w:type="dxa"/>
              <w:right w:w="57" w:type="dxa"/>
            </w:tcMar>
            <w:vAlign w:val="center"/>
          </w:tcPr>
          <w:p>
            <w:pPr>
              <w:pStyle w:val="55"/>
              <w:adjustRightInd w:val="0"/>
              <w:snapToGrid w:val="0"/>
              <w:spacing w:before="156" w:after="120" w:line="276" w:lineRule="auto"/>
              <w:jc w:val="center"/>
              <w:rPr>
                <w:rFonts w:ascii="Times New Roman" w:eastAsia="宋体"/>
                <w:strike/>
                <w:sz w:val="18"/>
                <w:szCs w:val="18"/>
              </w:rPr>
            </w:pPr>
            <w:r>
              <w:rPr>
                <w:rFonts w:hint="eastAsia" w:ascii="宋体" w:hAnsi="宋体" w:eastAsia="宋体" w:cs="宋体"/>
                <w:color w:val="000000"/>
                <w:kern w:val="0"/>
                <w:sz w:val="18"/>
                <w:szCs w:val="18"/>
                <w:lang w:val="en-US" w:eastAsia="zh-CN"/>
              </w:rPr>
              <w:t>按照GB/T 2589-2020《综合能耗计算通则》统计、计算</w:t>
            </w:r>
          </w:p>
        </w:tc>
        <w:tc>
          <w:tcPr>
            <w:tcW w:w="854" w:type="pct"/>
            <w:tcBorders>
              <w:top w:val="single" w:color="auto" w:sz="4" w:space="0"/>
              <w:left w:val="single" w:color="auto" w:sz="4" w:space="0"/>
              <w:bottom w:val="single" w:color="auto" w:sz="4" w:space="0"/>
              <w:right w:val="single" w:color="auto" w:sz="4" w:space="0"/>
            </w:tcBorders>
            <w:tcMar>
              <w:top w:w="0" w:type="dxa"/>
              <w:left w:w="57" w:type="dxa"/>
              <w:bottom w:w="0" w:type="dxa"/>
              <w:right w:w="57" w:type="dxa"/>
            </w:tcMar>
            <w:vAlign w:val="center"/>
          </w:tcPr>
          <w:p>
            <w:pPr>
              <w:pStyle w:val="55"/>
              <w:adjustRightInd w:val="0"/>
              <w:snapToGrid w:val="0"/>
              <w:spacing w:before="156" w:after="120" w:line="276" w:lineRule="auto"/>
              <w:jc w:val="center"/>
              <w:rPr>
                <w:rFonts w:ascii="Times New Roman" w:eastAsia="宋体"/>
                <w:strike/>
                <w:sz w:val="18"/>
                <w:szCs w:val="18"/>
              </w:rPr>
            </w:pPr>
            <w:r>
              <w:rPr>
                <w:rFonts w:hint="eastAsia" w:ascii="Times New Roman" w:eastAsia="宋体"/>
                <w:sz w:val="18"/>
                <w:szCs w:val="18"/>
              </w:rPr>
              <w:t>产品生产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0" w:type="auto"/>
            <w:vMerge w:val="continue"/>
            <w:tcBorders>
              <w:top w:val="single" w:color="auto" w:sz="4" w:space="0"/>
              <w:left w:val="single" w:color="auto" w:sz="4" w:space="0"/>
              <w:bottom w:val="single" w:color="auto" w:sz="4" w:space="0"/>
              <w:right w:val="single" w:color="auto" w:sz="4" w:space="0"/>
            </w:tcBorders>
            <w:vAlign w:val="center"/>
          </w:tcPr>
          <w:p>
            <w:pPr>
              <w:widowControl/>
              <w:spacing w:beforeAutospacing="1" w:afterAutospacing="1"/>
              <w:jc w:val="left"/>
              <w:rPr>
                <w:kern w:val="0"/>
                <w:sz w:val="18"/>
                <w:szCs w:val="18"/>
              </w:rPr>
            </w:pPr>
          </w:p>
        </w:tc>
        <w:tc>
          <w:tcPr>
            <w:tcW w:w="2709" w:type="dxa"/>
            <w:tcBorders>
              <w:top w:val="single" w:color="auto" w:sz="4" w:space="0"/>
              <w:left w:val="single" w:color="auto" w:sz="4" w:space="0"/>
              <w:bottom w:val="single" w:color="auto" w:sz="4" w:space="0"/>
              <w:right w:val="single" w:color="auto" w:sz="4" w:space="0"/>
            </w:tcBorders>
            <w:tcMar>
              <w:top w:w="0" w:type="dxa"/>
              <w:left w:w="57" w:type="dxa"/>
              <w:bottom w:w="0" w:type="dxa"/>
              <w:right w:w="57" w:type="dxa"/>
            </w:tcMar>
            <w:vAlign w:val="center"/>
          </w:tcPr>
          <w:p>
            <w:pPr>
              <w:widowControl/>
              <w:jc w:val="left"/>
              <w:rPr>
                <w:rFonts w:ascii="Times New Roman" w:eastAsia="宋体"/>
                <w:sz w:val="18"/>
                <w:szCs w:val="18"/>
              </w:rPr>
            </w:pPr>
            <w:r>
              <w:rPr>
                <w:rFonts w:hint="eastAsia" w:ascii="宋体" w:hAnsi="宋体" w:eastAsia="宋体" w:cs="宋体"/>
                <w:color w:val="000000"/>
                <w:kern w:val="0"/>
                <w:sz w:val="18"/>
                <w:szCs w:val="18"/>
              </w:rPr>
              <w:t>煅烧工序电耗（</w:t>
            </w:r>
            <w:r>
              <w:rPr>
                <w:rFonts w:hint="eastAsia" w:ascii="宋体" w:hAnsi="宋体" w:eastAsia="宋体" w:cs="宋体"/>
                <w:color w:val="000000"/>
                <w:kern w:val="0"/>
                <w:sz w:val="18"/>
                <w:szCs w:val="18"/>
                <w:lang w:val="en-US" w:eastAsia="zh-CN"/>
              </w:rPr>
              <w:t>折算到生烧率</w:t>
            </w:r>
            <w:r>
              <w:rPr>
                <w:rFonts w:hint="eastAsia" w:ascii="宋体" w:hAnsi="宋体" w:eastAsia="宋体" w:cs="宋体"/>
                <w:color w:val="000000"/>
                <w:kern w:val="0"/>
                <w:sz w:val="18"/>
                <w:szCs w:val="18"/>
              </w:rPr>
              <w:t>5%）</w:t>
            </w:r>
          </w:p>
        </w:tc>
        <w:tc>
          <w:tcPr>
            <w:tcW w:w="787" w:type="dxa"/>
            <w:tcBorders>
              <w:top w:val="single" w:color="auto" w:sz="4" w:space="0"/>
              <w:left w:val="single" w:color="auto" w:sz="4" w:space="0"/>
              <w:bottom w:val="single" w:color="auto" w:sz="4" w:space="0"/>
              <w:right w:val="single" w:color="auto" w:sz="4" w:space="0"/>
            </w:tcBorders>
            <w:tcMar>
              <w:top w:w="0" w:type="dxa"/>
              <w:left w:w="57" w:type="dxa"/>
              <w:bottom w:w="0" w:type="dxa"/>
              <w:right w:w="57" w:type="dxa"/>
            </w:tcMar>
            <w:vAlign w:val="center"/>
          </w:tcPr>
          <w:p>
            <w:pPr>
              <w:widowControl/>
              <w:jc w:val="center"/>
              <w:rPr>
                <w:rFonts w:ascii="Times New Roman" w:eastAsia="宋体"/>
                <w:sz w:val="18"/>
                <w:szCs w:val="18"/>
              </w:rPr>
            </w:pPr>
            <w:r>
              <w:rPr>
                <w:rFonts w:ascii="Times New Roman" w:hAnsi="Times New Roman" w:eastAsia="宋体" w:cs="Times New Roman"/>
                <w:color w:val="000000"/>
                <w:kern w:val="0"/>
                <w:sz w:val="18"/>
                <w:szCs w:val="18"/>
              </w:rPr>
              <w:t>kWh/t　</w:t>
            </w:r>
          </w:p>
        </w:tc>
        <w:tc>
          <w:tcPr>
            <w:tcW w:w="1444" w:type="dxa"/>
            <w:tcBorders>
              <w:top w:val="single" w:color="auto" w:sz="4" w:space="0"/>
              <w:left w:val="single" w:color="auto" w:sz="4" w:space="0"/>
              <w:bottom w:val="single" w:color="auto" w:sz="4" w:space="0"/>
              <w:right w:val="single" w:color="auto" w:sz="4" w:space="0"/>
            </w:tcBorders>
            <w:tcMar>
              <w:top w:w="0" w:type="dxa"/>
              <w:left w:w="57" w:type="dxa"/>
              <w:bottom w:w="0" w:type="dxa"/>
              <w:right w:w="57" w:type="dxa"/>
            </w:tcMar>
            <w:vAlign w:val="center"/>
          </w:tcPr>
          <w:p>
            <w:pPr>
              <w:widowControl/>
              <w:jc w:val="center"/>
              <w:rPr>
                <w:rFonts w:ascii="Times New Roman" w:eastAsia="宋体"/>
                <w:sz w:val="18"/>
                <w:szCs w:val="18"/>
              </w:rPr>
            </w:pPr>
            <w:r>
              <w:rPr>
                <w:rFonts w:hint="eastAsia" w:ascii="宋体" w:hAnsi="宋体" w:eastAsia="宋体" w:cs="宋体"/>
                <w:color w:val="000000"/>
                <w:kern w:val="0"/>
                <w:sz w:val="18"/>
                <w:szCs w:val="18"/>
              </w:rPr>
              <w:t>回转窑不高于</w:t>
            </w:r>
            <w:r>
              <w:rPr>
                <w:rFonts w:ascii="Times New Roman" w:hAnsi="Times New Roman" w:eastAsia="宋体" w:cs="Times New Roman"/>
                <w:color w:val="000000"/>
                <w:kern w:val="0"/>
                <w:sz w:val="18"/>
                <w:szCs w:val="18"/>
              </w:rPr>
              <w:t>3</w:t>
            </w:r>
            <w:r>
              <w:rPr>
                <w:rFonts w:hint="eastAsia" w:cs="Times New Roman"/>
                <w:color w:val="000000"/>
                <w:kern w:val="0"/>
                <w:sz w:val="18"/>
                <w:szCs w:val="18"/>
                <w:lang w:val="en-US" w:eastAsia="zh-CN"/>
              </w:rPr>
              <w:t>5</w:t>
            </w:r>
            <w:r>
              <w:rPr>
                <w:rFonts w:ascii="Times New Roman" w:hAnsi="Times New Roman" w:eastAsia="宋体" w:cs="Times New Roman"/>
                <w:color w:val="000000"/>
                <w:kern w:val="0"/>
                <w:sz w:val="18"/>
                <w:szCs w:val="18"/>
              </w:rPr>
              <w:t xml:space="preserve"> kWh/t</w:t>
            </w:r>
            <w:r>
              <w:rPr>
                <w:rFonts w:hint="eastAsia" w:ascii="宋体" w:hAnsi="宋体" w:eastAsia="宋体" w:cs="宋体"/>
                <w:color w:val="000000"/>
                <w:kern w:val="0"/>
                <w:sz w:val="18"/>
                <w:szCs w:val="18"/>
              </w:rPr>
              <w:t>、竖窑不高于</w:t>
            </w:r>
            <w:r>
              <w:rPr>
                <w:rFonts w:hint="eastAsia" w:cs="Times New Roman"/>
                <w:color w:val="000000"/>
                <w:kern w:val="0"/>
                <w:sz w:val="18"/>
                <w:szCs w:val="18"/>
                <w:lang w:val="en-US" w:eastAsia="zh-CN"/>
              </w:rPr>
              <w:t>40</w:t>
            </w:r>
            <w:r>
              <w:rPr>
                <w:rFonts w:ascii="Times New Roman" w:hAnsi="Times New Roman" w:eastAsia="宋体" w:cs="Times New Roman"/>
                <w:color w:val="000000"/>
                <w:kern w:val="0"/>
                <w:sz w:val="18"/>
                <w:szCs w:val="18"/>
              </w:rPr>
              <w:t xml:space="preserve"> kWh/t</w:t>
            </w:r>
          </w:p>
        </w:tc>
        <w:tc>
          <w:tcPr>
            <w:tcW w:w="928" w:type="pct"/>
            <w:tcBorders>
              <w:top w:val="single" w:color="auto" w:sz="4" w:space="0"/>
              <w:left w:val="single" w:color="auto" w:sz="4" w:space="0"/>
              <w:bottom w:val="single" w:color="auto" w:sz="4" w:space="0"/>
              <w:right w:val="single" w:color="auto" w:sz="4" w:space="0"/>
            </w:tcBorders>
            <w:tcMar>
              <w:top w:w="0" w:type="dxa"/>
              <w:left w:w="57" w:type="dxa"/>
              <w:bottom w:w="0" w:type="dxa"/>
              <w:right w:w="57" w:type="dxa"/>
            </w:tcMar>
            <w:vAlign w:val="center"/>
          </w:tcPr>
          <w:p>
            <w:pPr>
              <w:pStyle w:val="55"/>
              <w:adjustRightInd w:val="0"/>
              <w:snapToGrid w:val="0"/>
              <w:spacing w:before="156" w:after="120" w:line="276" w:lineRule="auto"/>
              <w:jc w:val="center"/>
              <w:rPr>
                <w:rFonts w:ascii="Times New Roman" w:eastAsia="宋体"/>
                <w:sz w:val="18"/>
                <w:szCs w:val="18"/>
              </w:rPr>
            </w:pPr>
            <w:r>
              <w:rPr>
                <w:rFonts w:hint="eastAsia" w:ascii="宋体" w:hAnsi="宋体" w:eastAsia="宋体" w:cs="宋体"/>
                <w:color w:val="000000"/>
                <w:kern w:val="0"/>
                <w:sz w:val="18"/>
                <w:szCs w:val="18"/>
                <w:lang w:val="en-US" w:eastAsia="zh-CN"/>
              </w:rPr>
              <w:t>按照GB/T 2589-2020《综合能耗计算通则》统计、计算</w:t>
            </w:r>
          </w:p>
        </w:tc>
        <w:tc>
          <w:tcPr>
            <w:tcW w:w="854" w:type="pct"/>
            <w:tcBorders>
              <w:top w:val="single" w:color="auto" w:sz="4" w:space="0"/>
              <w:left w:val="single" w:color="auto" w:sz="4" w:space="0"/>
              <w:bottom w:val="single" w:color="auto" w:sz="4" w:space="0"/>
              <w:right w:val="single" w:color="auto" w:sz="4" w:space="0"/>
            </w:tcBorders>
            <w:tcMar>
              <w:top w:w="0" w:type="dxa"/>
              <w:left w:w="57" w:type="dxa"/>
              <w:bottom w:w="0" w:type="dxa"/>
              <w:right w:w="57" w:type="dxa"/>
            </w:tcMar>
            <w:vAlign w:val="center"/>
          </w:tcPr>
          <w:p>
            <w:pPr>
              <w:pStyle w:val="55"/>
              <w:adjustRightInd w:val="0"/>
              <w:snapToGrid w:val="0"/>
              <w:spacing w:before="156" w:after="120" w:line="276" w:lineRule="auto"/>
              <w:jc w:val="center"/>
              <w:rPr>
                <w:rFonts w:ascii="Times New Roman" w:eastAsia="宋体"/>
                <w:sz w:val="18"/>
                <w:szCs w:val="18"/>
              </w:rPr>
            </w:pPr>
            <w:r>
              <w:rPr>
                <w:rFonts w:hint="eastAsia" w:ascii="Times New Roman" w:eastAsia="宋体"/>
                <w:sz w:val="18"/>
                <w:szCs w:val="18"/>
              </w:rPr>
              <w:t>产品生产</w:t>
            </w:r>
          </w:p>
        </w:tc>
      </w:tr>
    </w:tbl>
    <w:p>
      <w:pPr>
        <w:spacing w:line="276" w:lineRule="auto"/>
        <w:rPr>
          <w:sz w:val="24"/>
          <w:szCs w:val="32"/>
        </w:rPr>
      </w:pPr>
    </w:p>
    <w:p>
      <w:pPr>
        <w:spacing w:line="276" w:lineRule="auto"/>
        <w:ind w:firstLine="480" w:firstLineChars="200"/>
        <w:rPr>
          <w:sz w:val="24"/>
          <w:szCs w:val="32"/>
        </w:rPr>
      </w:pPr>
      <w:r>
        <w:rPr>
          <w:sz w:val="24"/>
          <w:szCs w:val="32"/>
        </w:rPr>
        <w:t>单位</w:t>
      </w:r>
      <w:r>
        <w:rPr>
          <w:rFonts w:hint="eastAsia"/>
          <w:sz w:val="24"/>
          <w:szCs w:val="32"/>
          <w:lang w:eastAsia="zh-CN"/>
        </w:rPr>
        <w:t>石灰</w:t>
      </w:r>
      <w:r>
        <w:rPr>
          <w:sz w:val="24"/>
          <w:szCs w:val="32"/>
        </w:rPr>
        <w:t>产品综合能耗依照新修订</w:t>
      </w:r>
      <w:r>
        <w:rPr>
          <w:rFonts w:hint="eastAsia"/>
          <w:sz w:val="24"/>
          <w:szCs w:val="32"/>
        </w:rPr>
        <w:t>GB/T 2589-2020</w:t>
      </w:r>
      <w:r>
        <w:rPr>
          <w:rFonts w:hint="eastAsia"/>
          <w:sz w:val="24"/>
          <w:szCs w:val="32"/>
          <w:lang w:val="en-US" w:eastAsia="zh-CN"/>
        </w:rPr>
        <w:t>计算，结合</w:t>
      </w:r>
      <w:r>
        <w:rPr>
          <w:rFonts w:hint="eastAsia" w:ascii="Times New Roman"/>
          <w:sz w:val="24"/>
          <w:szCs w:val="22"/>
          <w:lang w:val="en-US" w:eastAsia="zh-CN"/>
        </w:rPr>
        <w:t>《石灰行业清洁生产评价标准》（T/CLA００２－２０１）</w:t>
      </w:r>
      <w:r>
        <w:rPr>
          <w:rFonts w:hint="eastAsia"/>
          <w:sz w:val="24"/>
          <w:szCs w:val="22"/>
          <w:lang w:val="en-US" w:eastAsia="zh-CN"/>
        </w:rPr>
        <w:t>的数据和调研情况，将煅烧工序热耗和电耗定位与</w:t>
      </w:r>
      <w:r>
        <w:rPr>
          <w:rFonts w:hint="eastAsia" w:ascii="Times New Roman"/>
          <w:sz w:val="24"/>
          <w:szCs w:val="22"/>
          <w:lang w:val="en-US" w:eastAsia="zh-CN"/>
        </w:rPr>
        <w:t>《石灰行业清洁生产评价标准》（T/CLA００２－２０１）</w:t>
      </w:r>
      <w:r>
        <w:rPr>
          <w:rFonts w:hint="eastAsia"/>
          <w:sz w:val="24"/>
          <w:szCs w:val="22"/>
          <w:lang w:val="en-US" w:eastAsia="zh-CN"/>
        </w:rPr>
        <w:t>二级指标一致。</w:t>
      </w:r>
    </w:p>
    <w:p>
      <w:pPr>
        <w:spacing w:line="276" w:lineRule="auto"/>
        <w:ind w:firstLine="480" w:firstLineChars="200"/>
        <w:rPr>
          <w:sz w:val="24"/>
          <w:szCs w:val="32"/>
        </w:rPr>
      </w:pPr>
    </w:p>
    <w:p>
      <w:pPr>
        <w:pStyle w:val="47"/>
        <w:spacing w:line="276" w:lineRule="auto"/>
        <w:rPr>
          <w:rFonts w:ascii="Times New Roman" w:hAnsi="Times New Roman" w:cs="Times New Roman"/>
          <w:sz w:val="28"/>
          <w:szCs w:val="36"/>
        </w:rPr>
      </w:pPr>
      <w:r>
        <w:rPr>
          <w:rFonts w:ascii="Times New Roman" w:hAnsi="Times New Roman" w:cs="Times New Roman"/>
          <w:sz w:val="28"/>
          <w:szCs w:val="36"/>
        </w:rPr>
        <w:t>3.2.4.4 环境属性</w:t>
      </w:r>
    </w:p>
    <w:p>
      <w:pPr>
        <w:spacing w:line="276" w:lineRule="auto"/>
        <w:ind w:firstLine="480" w:firstLineChars="200"/>
        <w:rPr>
          <w:color w:val="000000"/>
          <w:sz w:val="24"/>
          <w:szCs w:val="32"/>
        </w:rPr>
      </w:pPr>
      <w:r>
        <w:rPr>
          <w:sz w:val="24"/>
          <w:szCs w:val="32"/>
        </w:rPr>
        <w:t>环境属性从大气污染物排放、单位产品碳排放</w:t>
      </w:r>
      <w:r>
        <w:rPr>
          <w:rFonts w:hint="eastAsia"/>
          <w:sz w:val="24"/>
          <w:szCs w:val="32"/>
          <w:lang w:eastAsia="zh-CN"/>
        </w:rPr>
        <w:t>石灰</w:t>
      </w:r>
      <w:r>
        <w:rPr>
          <w:sz w:val="24"/>
          <w:szCs w:val="32"/>
        </w:rPr>
        <w:t>污染物排放</w:t>
      </w:r>
      <w:r>
        <w:rPr>
          <w:rFonts w:hint="eastAsia"/>
          <w:sz w:val="24"/>
          <w:szCs w:val="32"/>
        </w:rPr>
        <w:t>、无组织排放</w:t>
      </w:r>
      <w:r>
        <w:rPr>
          <w:sz w:val="24"/>
          <w:szCs w:val="32"/>
        </w:rPr>
        <w:t>等方面提出指标要求，</w:t>
      </w:r>
      <w:r>
        <w:rPr>
          <w:color w:val="000000"/>
          <w:sz w:val="24"/>
          <w:szCs w:val="32"/>
        </w:rPr>
        <w:t>具体见下表。</w:t>
      </w:r>
    </w:p>
    <w:p>
      <w:pPr>
        <w:spacing w:line="276" w:lineRule="auto"/>
        <w:jc w:val="center"/>
        <w:rPr>
          <w:b/>
        </w:rPr>
      </w:pPr>
      <w:r>
        <w:rPr>
          <w:b/>
        </w:rPr>
        <w:t>表3-3环境属性相关指标</w:t>
      </w:r>
    </w:p>
    <w:tbl>
      <w:tblPr>
        <w:tblStyle w:val="27"/>
        <w:tblW w:w="5000" w:type="pct"/>
        <w:tblInd w:w="0" w:type="dxa"/>
        <w:tblBorders>
          <w:top w:val="single" w:color="auto" w:sz="4" w:space="0"/>
          <w:left w:val="single" w:color="auto" w:sz="4" w:space="0"/>
          <w:bottom w:val="single" w:color="auto" w:sz="4" w:space="0"/>
          <w:right w:val="single" w:color="auto" w:sz="4" w:space="0"/>
          <w:insideH w:val="none" w:color="auto" w:sz="4" w:space="0"/>
          <w:insideV w:val="none" w:color="auto" w:sz="4" w:space="0"/>
        </w:tblBorders>
        <w:tblLayout w:type="autofit"/>
        <w:tblCellMar>
          <w:top w:w="0" w:type="dxa"/>
          <w:left w:w="108" w:type="dxa"/>
          <w:bottom w:w="0" w:type="dxa"/>
          <w:right w:w="108" w:type="dxa"/>
        </w:tblCellMar>
      </w:tblPr>
      <w:tblGrid>
        <w:gridCol w:w="662"/>
        <w:gridCol w:w="1588"/>
        <w:gridCol w:w="825"/>
        <w:gridCol w:w="2748"/>
        <w:gridCol w:w="2027"/>
        <w:gridCol w:w="672"/>
      </w:tblGrid>
      <w:tr>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CellMar>
            <w:top w:w="0" w:type="dxa"/>
            <w:left w:w="108" w:type="dxa"/>
            <w:bottom w:w="0" w:type="dxa"/>
            <w:right w:w="108" w:type="dxa"/>
          </w:tblCellMar>
        </w:tblPrEx>
        <w:trPr>
          <w:trHeight w:val="480" w:hRule="atLeast"/>
        </w:trPr>
        <w:tc>
          <w:tcPr>
            <w:tcW w:w="399" w:type="pct"/>
            <w:tcBorders>
              <w:bottom w:val="single" w:color="auto" w:sz="4" w:space="0"/>
              <w:right w:val="single" w:color="auto" w:sz="4" w:space="0"/>
            </w:tcBorders>
            <w:shd w:val="clear" w:color="auto" w:fill="auto"/>
            <w:vAlign w:val="center"/>
          </w:tcPr>
          <w:p>
            <w:pPr>
              <w:jc w:val="left"/>
              <w:rPr>
                <w:rFonts w:hint="eastAsia" w:ascii="宋体" w:hAnsi="宋体" w:eastAsia="宋体" w:cs="宋体"/>
                <w:color w:val="000000"/>
                <w:kern w:val="0"/>
                <w:sz w:val="18"/>
                <w:szCs w:val="18"/>
              </w:rPr>
            </w:pPr>
          </w:p>
        </w:tc>
        <w:tc>
          <w:tcPr>
            <w:tcW w:w="1804" w:type="dxa"/>
            <w:tcBorders>
              <w:left w:val="nil"/>
              <w:bottom w:val="single" w:color="auto" w:sz="4" w:space="0"/>
              <w:right w:val="single" w:color="auto" w:sz="4" w:space="0"/>
            </w:tcBorders>
            <w:shd w:val="clear" w:color="auto" w:fill="auto"/>
            <w:vAlign w:val="center"/>
          </w:tcPr>
          <w:p>
            <w:pPr>
              <w:pStyle w:val="55"/>
              <w:adjustRightInd w:val="0"/>
              <w:snapToGrid w:val="0"/>
              <w:spacing w:before="156" w:after="120" w:line="276" w:lineRule="auto"/>
              <w:jc w:val="center"/>
              <w:rPr>
                <w:rFonts w:hint="eastAsia" w:ascii="宋体" w:hAnsi="宋体" w:eastAsia="宋体" w:cs="宋体"/>
                <w:color w:val="000000"/>
                <w:kern w:val="0"/>
                <w:sz w:val="18"/>
                <w:szCs w:val="18"/>
              </w:rPr>
            </w:pPr>
            <w:r>
              <w:rPr>
                <w:rFonts w:hint="eastAsia" w:ascii="Times New Roman" w:eastAsia="宋体"/>
                <w:sz w:val="18"/>
                <w:szCs w:val="18"/>
              </w:rPr>
              <w:t>二级指标</w:t>
            </w:r>
          </w:p>
        </w:tc>
        <w:tc>
          <w:tcPr>
            <w:tcW w:w="825" w:type="dxa"/>
            <w:tcBorders>
              <w:left w:val="nil"/>
              <w:bottom w:val="single" w:color="auto" w:sz="4" w:space="0"/>
              <w:right w:val="single" w:color="auto" w:sz="4" w:space="0"/>
            </w:tcBorders>
            <w:shd w:val="clear" w:color="auto" w:fill="auto"/>
            <w:vAlign w:val="center"/>
          </w:tcPr>
          <w:p>
            <w:pPr>
              <w:pStyle w:val="55"/>
              <w:adjustRightInd w:val="0"/>
              <w:snapToGrid w:val="0"/>
              <w:spacing w:before="156" w:after="120" w:line="276" w:lineRule="auto"/>
              <w:jc w:val="center"/>
              <w:rPr>
                <w:rFonts w:hint="eastAsia" w:ascii="Times New Roman" w:hAnsi="Times New Roman" w:eastAsia="宋体" w:cs="Times New Roman"/>
                <w:color w:val="000000"/>
                <w:kern w:val="0"/>
                <w:sz w:val="18"/>
                <w:szCs w:val="18"/>
                <w:lang w:val="en-US" w:eastAsia="zh-CN"/>
              </w:rPr>
            </w:pPr>
            <w:r>
              <w:rPr>
                <w:rFonts w:hint="eastAsia" w:ascii="Times New Roman" w:eastAsia="宋体"/>
                <w:sz w:val="18"/>
                <w:szCs w:val="18"/>
              </w:rPr>
              <w:t>单位</w:t>
            </w:r>
          </w:p>
        </w:tc>
        <w:tc>
          <w:tcPr>
            <w:tcW w:w="3106" w:type="dxa"/>
            <w:tcBorders>
              <w:left w:val="nil"/>
              <w:bottom w:val="single" w:color="auto" w:sz="4" w:space="0"/>
              <w:right w:val="single" w:color="auto" w:sz="4" w:space="0"/>
            </w:tcBorders>
            <w:shd w:val="clear" w:color="auto" w:fill="auto"/>
            <w:vAlign w:val="center"/>
          </w:tcPr>
          <w:p>
            <w:pPr>
              <w:pStyle w:val="55"/>
              <w:adjustRightInd w:val="0"/>
              <w:snapToGrid w:val="0"/>
              <w:spacing w:before="156" w:after="120" w:line="276" w:lineRule="auto"/>
              <w:jc w:val="center"/>
              <w:rPr>
                <w:rFonts w:hint="eastAsia" w:ascii="Times New Roman" w:hAnsi="Times New Roman" w:eastAsia="宋体" w:cs="Times New Roman"/>
                <w:color w:val="000000"/>
                <w:kern w:val="0"/>
                <w:sz w:val="18"/>
                <w:szCs w:val="18"/>
                <w:lang w:val="en-US" w:eastAsia="zh-CN"/>
              </w:rPr>
            </w:pPr>
            <w:r>
              <w:rPr>
                <w:rFonts w:hint="eastAsia" w:ascii="Times New Roman" w:eastAsia="宋体"/>
                <w:sz w:val="18"/>
                <w:szCs w:val="18"/>
              </w:rPr>
              <w:t>基准值</w:t>
            </w:r>
          </w:p>
        </w:tc>
        <w:tc>
          <w:tcPr>
            <w:tcW w:w="2296" w:type="dxa"/>
            <w:tcBorders>
              <w:left w:val="nil"/>
              <w:bottom w:val="single" w:color="auto" w:sz="4" w:space="0"/>
              <w:right w:val="single" w:color="auto" w:sz="4" w:space="0"/>
            </w:tcBorders>
            <w:shd w:val="clear" w:color="auto" w:fill="auto"/>
            <w:vAlign w:val="center"/>
          </w:tcPr>
          <w:p>
            <w:pPr>
              <w:pStyle w:val="55"/>
              <w:adjustRightInd w:val="0"/>
              <w:snapToGrid w:val="0"/>
              <w:spacing w:before="156" w:after="120" w:line="276" w:lineRule="auto"/>
              <w:jc w:val="center"/>
              <w:rPr>
                <w:rFonts w:hint="eastAsia" w:ascii="宋体" w:hAnsi="宋体" w:eastAsia="宋体" w:cs="宋体"/>
                <w:color w:val="000000"/>
                <w:kern w:val="0"/>
                <w:sz w:val="18"/>
                <w:szCs w:val="18"/>
              </w:rPr>
            </w:pPr>
            <w:r>
              <w:rPr>
                <w:rFonts w:hint="eastAsia" w:ascii="Times New Roman" w:eastAsia="宋体"/>
                <w:sz w:val="18"/>
                <w:szCs w:val="18"/>
              </w:rPr>
              <w:t>判定依据</w:t>
            </w:r>
          </w:p>
        </w:tc>
        <w:tc>
          <w:tcPr>
            <w:tcW w:w="775" w:type="dxa"/>
            <w:tcBorders>
              <w:left w:val="nil"/>
              <w:bottom w:val="single" w:color="auto" w:sz="4" w:space="0"/>
            </w:tcBorders>
            <w:shd w:val="clear" w:color="auto" w:fill="auto"/>
            <w:vAlign w:val="center"/>
          </w:tcPr>
          <w:p>
            <w:pPr>
              <w:pStyle w:val="55"/>
              <w:adjustRightInd w:val="0"/>
              <w:snapToGrid w:val="0"/>
              <w:spacing w:before="156" w:after="120" w:line="276" w:lineRule="auto"/>
              <w:jc w:val="center"/>
              <w:rPr>
                <w:rFonts w:hint="eastAsia" w:ascii="宋体" w:hAnsi="宋体" w:eastAsia="宋体" w:cs="宋体"/>
                <w:color w:val="000000"/>
                <w:kern w:val="0"/>
                <w:sz w:val="18"/>
                <w:szCs w:val="18"/>
              </w:rPr>
            </w:pPr>
            <w:r>
              <w:rPr>
                <w:rFonts w:hint="eastAsia" w:ascii="Times New Roman" w:eastAsia="宋体"/>
                <w:sz w:val="18"/>
                <w:szCs w:val="18"/>
              </w:rPr>
              <w:t>所属生命周期阶段</w:t>
            </w:r>
          </w:p>
        </w:tc>
      </w:tr>
      <w:tr>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CellMar>
            <w:top w:w="0" w:type="dxa"/>
            <w:left w:w="108" w:type="dxa"/>
            <w:bottom w:w="0" w:type="dxa"/>
            <w:right w:w="108" w:type="dxa"/>
          </w:tblCellMar>
        </w:tblPrEx>
        <w:trPr>
          <w:trHeight w:val="480" w:hRule="atLeast"/>
        </w:trPr>
        <w:tc>
          <w:tcPr>
            <w:tcW w:w="399" w:type="pct"/>
            <w:vMerge w:val="restart"/>
            <w:tcBorders>
              <w:top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环境属性</w:t>
            </w:r>
          </w:p>
          <w:p>
            <w:pPr>
              <w:widowControl/>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　</w:t>
            </w:r>
          </w:p>
          <w:p>
            <w:pPr>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　</w:t>
            </w:r>
          </w:p>
        </w:tc>
        <w:tc>
          <w:tcPr>
            <w:tcW w:w="942" w:type="pct"/>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颗粒物排放限值</w:t>
            </w:r>
          </w:p>
        </w:tc>
        <w:tc>
          <w:tcPr>
            <w:tcW w:w="431" w:type="pct"/>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宋体" w:cs="Times New Roman"/>
                <w:color w:val="000000"/>
                <w:kern w:val="0"/>
                <w:sz w:val="18"/>
                <w:szCs w:val="18"/>
              </w:rPr>
            </w:pPr>
            <w:r>
              <w:rPr>
                <w:rFonts w:hint="eastAsia" w:ascii="Times New Roman" w:hAnsi="Times New Roman" w:eastAsia="宋体" w:cs="Times New Roman"/>
                <w:color w:val="000000"/>
                <w:kern w:val="0"/>
                <w:sz w:val="18"/>
                <w:szCs w:val="18"/>
                <w:lang w:val="en-US" w:eastAsia="zh-CN"/>
              </w:rPr>
              <w:t>mg/Nm</w:t>
            </w:r>
            <w:r>
              <w:rPr>
                <w:rFonts w:hint="eastAsia" w:ascii="Times New Roman" w:hAnsi="Times New Roman" w:eastAsia="宋体" w:cs="Times New Roman"/>
                <w:color w:val="000000"/>
                <w:kern w:val="0"/>
                <w:sz w:val="18"/>
                <w:szCs w:val="18"/>
                <w:vertAlign w:val="superscript"/>
                <w:lang w:val="en-US" w:eastAsia="zh-CN"/>
              </w:rPr>
              <w:t>3</w:t>
            </w:r>
          </w:p>
        </w:tc>
        <w:tc>
          <w:tcPr>
            <w:tcW w:w="1622"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18"/>
                <w:szCs w:val="18"/>
              </w:rPr>
            </w:pPr>
            <w:r>
              <w:rPr>
                <w:rFonts w:hint="eastAsia" w:ascii="Times New Roman" w:hAnsi="Times New Roman" w:eastAsia="宋体" w:cs="Times New Roman"/>
                <w:color w:val="000000"/>
                <w:kern w:val="0"/>
                <w:sz w:val="18"/>
                <w:szCs w:val="18"/>
                <w:lang w:val="en-US" w:eastAsia="zh-CN"/>
              </w:rPr>
              <w:t>≤</w:t>
            </w:r>
            <w:r>
              <w:rPr>
                <w:rFonts w:ascii="Times New Roman" w:hAnsi="Times New Roman" w:eastAsia="宋体" w:cs="Times New Roman"/>
                <w:color w:val="000000"/>
                <w:kern w:val="0"/>
                <w:sz w:val="18"/>
                <w:szCs w:val="18"/>
              </w:rPr>
              <w:t>10</w:t>
            </w:r>
          </w:p>
        </w:tc>
        <w:tc>
          <w:tcPr>
            <w:tcW w:w="1199"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提供在线监测或定期环境检测报告</w:t>
            </w:r>
          </w:p>
        </w:tc>
        <w:tc>
          <w:tcPr>
            <w:tcW w:w="404" w:type="pct"/>
            <w:tcBorders>
              <w:top w:val="nil"/>
              <w:left w:val="nil"/>
              <w:bottom w:val="single" w:color="auto" w:sz="4" w:space="0"/>
            </w:tcBorders>
            <w:shd w:val="clear" w:color="auto" w:fill="auto"/>
            <w:vAlign w:val="center"/>
          </w:tcPr>
          <w:p>
            <w:pPr>
              <w:widowControl/>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产品生产</w:t>
            </w:r>
          </w:p>
        </w:tc>
      </w:tr>
      <w:tr>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CellMar>
            <w:top w:w="0" w:type="dxa"/>
            <w:left w:w="108" w:type="dxa"/>
            <w:bottom w:w="0" w:type="dxa"/>
            <w:right w:w="108" w:type="dxa"/>
          </w:tblCellMar>
        </w:tblPrEx>
        <w:trPr>
          <w:trHeight w:val="288" w:hRule="atLeast"/>
        </w:trPr>
        <w:tc>
          <w:tcPr>
            <w:tcW w:w="399" w:type="pct"/>
            <w:vMerge w:val="continue"/>
            <w:tcBorders>
              <w:top w:val="single" w:color="auto" w:sz="4" w:space="0"/>
              <w:bottom w:val="single" w:color="auto" w:sz="4" w:space="0"/>
              <w:right w:val="single" w:color="auto" w:sz="4" w:space="0"/>
            </w:tcBorders>
            <w:shd w:val="clear" w:color="auto" w:fill="auto"/>
            <w:vAlign w:val="center"/>
          </w:tcPr>
          <w:p>
            <w:pPr>
              <w:jc w:val="left"/>
              <w:rPr>
                <w:rFonts w:ascii="宋体" w:hAnsi="宋体" w:eastAsia="宋体" w:cs="宋体"/>
                <w:color w:val="000000"/>
                <w:kern w:val="0"/>
                <w:sz w:val="18"/>
                <w:szCs w:val="18"/>
              </w:rPr>
            </w:pPr>
          </w:p>
        </w:tc>
        <w:tc>
          <w:tcPr>
            <w:tcW w:w="942" w:type="pct"/>
            <w:tcBorders>
              <w:top w:val="nil"/>
              <w:left w:val="nil"/>
              <w:bottom w:val="single" w:color="auto" w:sz="4" w:space="0"/>
              <w:right w:val="single" w:color="auto" w:sz="4" w:space="0"/>
            </w:tcBorders>
            <w:shd w:val="clear" w:color="auto" w:fill="auto"/>
            <w:vAlign w:val="center"/>
          </w:tcPr>
          <w:p>
            <w:pPr>
              <w:widowControl/>
              <w:jc w:val="left"/>
              <w:rPr>
                <w:rFonts w:hint="default" w:ascii="宋体" w:hAnsi="宋体" w:eastAsia="宋体" w:cs="宋体"/>
                <w:color w:val="000000"/>
                <w:kern w:val="0"/>
                <w:sz w:val="18"/>
                <w:szCs w:val="18"/>
                <w:lang w:val="en-US" w:eastAsia="zh-CN"/>
              </w:rPr>
            </w:pPr>
            <w:r>
              <w:rPr>
                <w:rFonts w:hint="eastAsia" w:ascii="宋体" w:hAnsi="宋体" w:eastAsia="宋体" w:cs="宋体"/>
                <w:color w:val="000000"/>
                <w:kern w:val="0"/>
                <w:sz w:val="18"/>
                <w:szCs w:val="18"/>
                <w:lang w:val="en-US" w:eastAsia="zh-CN"/>
              </w:rPr>
              <w:t>二氧化硫排放浓度</w:t>
            </w:r>
          </w:p>
        </w:tc>
        <w:tc>
          <w:tcPr>
            <w:tcW w:w="431" w:type="pct"/>
            <w:tcBorders>
              <w:top w:val="nil"/>
              <w:left w:val="nil"/>
              <w:bottom w:val="single" w:color="auto" w:sz="4" w:space="0"/>
              <w:right w:val="single" w:color="auto" w:sz="4" w:space="0"/>
            </w:tcBorders>
            <w:shd w:val="clear" w:color="auto" w:fill="auto"/>
            <w:vAlign w:val="center"/>
          </w:tcPr>
          <w:p>
            <w:pPr>
              <w:widowControl/>
              <w:jc w:val="center"/>
              <w:rPr>
                <w:rFonts w:hint="default" w:ascii="Times New Roman" w:hAnsi="Times New Roman" w:eastAsia="宋体" w:cs="Times New Roman"/>
                <w:color w:val="000000"/>
                <w:kern w:val="0"/>
                <w:sz w:val="18"/>
                <w:szCs w:val="18"/>
                <w:lang w:val="en-US" w:eastAsia="zh-CN"/>
              </w:rPr>
            </w:pPr>
            <w:r>
              <w:rPr>
                <w:rFonts w:hint="eastAsia" w:ascii="Times New Roman" w:hAnsi="Times New Roman" w:eastAsia="宋体" w:cs="Times New Roman"/>
                <w:color w:val="000000"/>
                <w:kern w:val="0"/>
                <w:sz w:val="18"/>
                <w:szCs w:val="18"/>
                <w:lang w:val="en-US" w:eastAsia="zh-CN"/>
              </w:rPr>
              <w:t>mg/Nm</w:t>
            </w:r>
            <w:r>
              <w:rPr>
                <w:rFonts w:hint="eastAsia" w:ascii="Times New Roman" w:hAnsi="Times New Roman" w:eastAsia="宋体" w:cs="Times New Roman"/>
                <w:color w:val="000000"/>
                <w:kern w:val="0"/>
                <w:sz w:val="18"/>
                <w:szCs w:val="18"/>
                <w:vertAlign w:val="superscript"/>
                <w:lang w:val="en-US" w:eastAsia="zh-CN"/>
              </w:rPr>
              <w:t>3</w:t>
            </w:r>
          </w:p>
        </w:tc>
        <w:tc>
          <w:tcPr>
            <w:tcW w:w="1622"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18"/>
                <w:szCs w:val="18"/>
              </w:rPr>
            </w:pPr>
            <w:r>
              <w:rPr>
                <w:rFonts w:hint="eastAsia" w:ascii="Times New Roman" w:hAnsi="Times New Roman" w:eastAsia="宋体" w:cs="Times New Roman"/>
                <w:color w:val="000000"/>
                <w:kern w:val="0"/>
                <w:sz w:val="18"/>
                <w:szCs w:val="18"/>
                <w:lang w:val="en-US" w:eastAsia="zh-CN"/>
              </w:rPr>
              <w:t>≤5</w:t>
            </w:r>
            <w:r>
              <w:rPr>
                <w:rFonts w:ascii="Times New Roman" w:hAnsi="Times New Roman" w:eastAsia="宋体" w:cs="Times New Roman"/>
                <w:color w:val="000000"/>
                <w:kern w:val="0"/>
                <w:sz w:val="18"/>
                <w:szCs w:val="18"/>
              </w:rPr>
              <w:t>0</w:t>
            </w:r>
          </w:p>
        </w:tc>
        <w:tc>
          <w:tcPr>
            <w:tcW w:w="1199"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提供在线监测或定期环境检测报告</w:t>
            </w:r>
          </w:p>
        </w:tc>
        <w:tc>
          <w:tcPr>
            <w:tcW w:w="404" w:type="pct"/>
            <w:tcBorders>
              <w:top w:val="nil"/>
              <w:left w:val="nil"/>
              <w:bottom w:val="single" w:color="auto" w:sz="4" w:space="0"/>
            </w:tcBorders>
            <w:shd w:val="clear" w:color="auto" w:fill="auto"/>
            <w:vAlign w:val="center"/>
          </w:tcPr>
          <w:p>
            <w:pPr>
              <w:widowControl/>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产品生产</w:t>
            </w:r>
          </w:p>
        </w:tc>
      </w:tr>
      <w:tr>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CellMar>
            <w:top w:w="0" w:type="dxa"/>
            <w:left w:w="108" w:type="dxa"/>
            <w:bottom w:w="0" w:type="dxa"/>
            <w:right w:w="108" w:type="dxa"/>
          </w:tblCellMar>
        </w:tblPrEx>
        <w:trPr>
          <w:trHeight w:val="288" w:hRule="atLeast"/>
        </w:trPr>
        <w:tc>
          <w:tcPr>
            <w:tcW w:w="399" w:type="pct"/>
            <w:vMerge w:val="continue"/>
            <w:tcBorders>
              <w:top w:val="single" w:color="auto" w:sz="4" w:space="0"/>
              <w:bottom w:val="single" w:color="auto" w:sz="4" w:space="0"/>
              <w:right w:val="single" w:color="auto" w:sz="4" w:space="0"/>
            </w:tcBorders>
            <w:shd w:val="clear" w:color="auto" w:fill="auto"/>
            <w:vAlign w:val="center"/>
          </w:tcPr>
          <w:p>
            <w:pPr>
              <w:jc w:val="left"/>
              <w:rPr>
                <w:rFonts w:ascii="宋体" w:hAnsi="宋体" w:eastAsia="宋体" w:cs="宋体"/>
                <w:color w:val="000000"/>
                <w:kern w:val="0"/>
                <w:sz w:val="18"/>
                <w:szCs w:val="18"/>
              </w:rPr>
            </w:pPr>
          </w:p>
        </w:tc>
        <w:tc>
          <w:tcPr>
            <w:tcW w:w="942" w:type="pct"/>
            <w:tcBorders>
              <w:top w:val="nil"/>
              <w:left w:val="nil"/>
              <w:bottom w:val="single" w:color="auto" w:sz="4" w:space="0"/>
              <w:right w:val="single" w:color="auto" w:sz="4" w:space="0"/>
            </w:tcBorders>
            <w:shd w:val="clear" w:color="auto" w:fill="auto"/>
            <w:vAlign w:val="center"/>
          </w:tcPr>
          <w:p>
            <w:pPr>
              <w:widowControl/>
              <w:jc w:val="left"/>
              <w:rPr>
                <w:rFonts w:hint="default" w:ascii="宋体" w:hAnsi="宋体" w:eastAsia="宋体" w:cs="宋体"/>
                <w:color w:val="000000"/>
                <w:kern w:val="0"/>
                <w:sz w:val="18"/>
                <w:szCs w:val="18"/>
                <w:lang w:val="en-US" w:eastAsia="zh-CN"/>
              </w:rPr>
            </w:pPr>
            <w:r>
              <w:rPr>
                <w:rFonts w:hint="eastAsia" w:ascii="宋体" w:hAnsi="宋体" w:eastAsia="宋体" w:cs="宋体"/>
                <w:color w:val="000000"/>
                <w:kern w:val="0"/>
                <w:sz w:val="18"/>
                <w:szCs w:val="18"/>
                <w:lang w:val="en-US" w:eastAsia="zh-CN"/>
              </w:rPr>
              <w:t>氮氧化物排放浓度</w:t>
            </w:r>
          </w:p>
        </w:tc>
        <w:tc>
          <w:tcPr>
            <w:tcW w:w="431" w:type="pct"/>
            <w:tcBorders>
              <w:top w:val="nil"/>
              <w:left w:val="nil"/>
              <w:bottom w:val="single" w:color="auto" w:sz="4" w:space="0"/>
              <w:right w:val="single" w:color="auto" w:sz="4" w:space="0"/>
            </w:tcBorders>
            <w:shd w:val="clear" w:color="auto" w:fill="auto"/>
            <w:vAlign w:val="center"/>
          </w:tcPr>
          <w:p>
            <w:pPr>
              <w:widowControl/>
              <w:jc w:val="center"/>
              <w:rPr>
                <w:rFonts w:hint="default" w:ascii="Times New Roman" w:hAnsi="Times New Roman" w:eastAsia="宋体" w:cs="Times New Roman"/>
                <w:color w:val="000000"/>
                <w:kern w:val="0"/>
                <w:sz w:val="18"/>
                <w:szCs w:val="18"/>
                <w:lang w:val="en-US" w:eastAsia="zh-CN" w:bidi="ar-SA"/>
              </w:rPr>
            </w:pPr>
            <w:r>
              <w:rPr>
                <w:rFonts w:hint="eastAsia" w:ascii="Times New Roman" w:hAnsi="Times New Roman" w:eastAsia="宋体" w:cs="Times New Roman"/>
                <w:color w:val="000000"/>
                <w:kern w:val="0"/>
                <w:sz w:val="18"/>
                <w:szCs w:val="18"/>
                <w:lang w:val="en-US" w:eastAsia="zh-CN"/>
              </w:rPr>
              <w:t>mg/Nm</w:t>
            </w:r>
            <w:r>
              <w:rPr>
                <w:rFonts w:hint="eastAsia" w:ascii="Times New Roman" w:hAnsi="Times New Roman" w:eastAsia="宋体" w:cs="Times New Roman"/>
                <w:color w:val="000000"/>
                <w:kern w:val="0"/>
                <w:sz w:val="18"/>
                <w:szCs w:val="18"/>
                <w:vertAlign w:val="superscript"/>
                <w:lang w:val="en-US" w:eastAsia="zh-CN"/>
              </w:rPr>
              <w:t>3</w:t>
            </w:r>
          </w:p>
        </w:tc>
        <w:tc>
          <w:tcPr>
            <w:tcW w:w="1622" w:type="pct"/>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000000"/>
                <w:kern w:val="0"/>
                <w:sz w:val="18"/>
                <w:szCs w:val="18"/>
              </w:rPr>
            </w:pPr>
            <w:r>
              <w:rPr>
                <w:rFonts w:hint="eastAsia" w:ascii="Times New Roman" w:hAnsi="Times New Roman" w:eastAsia="宋体" w:cs="Times New Roman"/>
                <w:color w:val="000000"/>
                <w:kern w:val="0"/>
                <w:sz w:val="18"/>
                <w:szCs w:val="18"/>
                <w:lang w:val="en-US" w:eastAsia="zh-CN"/>
              </w:rPr>
              <w:t>≤15</w:t>
            </w:r>
            <w:r>
              <w:rPr>
                <w:rFonts w:ascii="Times New Roman" w:hAnsi="Times New Roman" w:eastAsia="宋体" w:cs="Times New Roman"/>
                <w:color w:val="000000"/>
                <w:kern w:val="0"/>
                <w:sz w:val="18"/>
                <w:szCs w:val="18"/>
              </w:rPr>
              <w:t>0</w:t>
            </w:r>
          </w:p>
        </w:tc>
        <w:tc>
          <w:tcPr>
            <w:tcW w:w="1199" w:type="pct"/>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提供在线监测或定期环境检测报告</w:t>
            </w:r>
          </w:p>
        </w:tc>
        <w:tc>
          <w:tcPr>
            <w:tcW w:w="404" w:type="pct"/>
            <w:tcBorders>
              <w:top w:val="nil"/>
              <w:left w:val="nil"/>
              <w:bottom w:val="single" w:color="auto" w:sz="4" w:space="0"/>
            </w:tcBorders>
            <w:shd w:val="clear" w:color="auto" w:fill="auto"/>
            <w:vAlign w:val="center"/>
          </w:tcPr>
          <w:p>
            <w:pPr>
              <w:widowControl/>
              <w:jc w:val="center"/>
              <w:rPr>
                <w:rFonts w:hint="eastAsia" w:ascii="宋体" w:hAnsi="宋体" w:eastAsia="宋体" w:cs="宋体"/>
                <w:color w:val="000000"/>
                <w:kern w:val="0"/>
                <w:sz w:val="18"/>
                <w:szCs w:val="18"/>
              </w:rPr>
            </w:pPr>
          </w:p>
        </w:tc>
      </w:tr>
      <w:tr>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CellMar>
            <w:top w:w="0" w:type="dxa"/>
            <w:left w:w="108" w:type="dxa"/>
            <w:bottom w:w="0" w:type="dxa"/>
            <w:right w:w="108" w:type="dxa"/>
          </w:tblCellMar>
        </w:tblPrEx>
        <w:trPr>
          <w:trHeight w:val="288" w:hRule="atLeast"/>
        </w:trPr>
        <w:tc>
          <w:tcPr>
            <w:tcW w:w="399" w:type="pct"/>
            <w:vMerge w:val="continue"/>
            <w:tcBorders>
              <w:top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 w:val="18"/>
                <w:szCs w:val="18"/>
              </w:rPr>
            </w:pPr>
          </w:p>
        </w:tc>
        <w:tc>
          <w:tcPr>
            <w:tcW w:w="942" w:type="pct"/>
            <w:tcBorders>
              <w:top w:val="nil"/>
              <w:left w:val="nil"/>
              <w:right w:val="single" w:color="auto" w:sz="4" w:space="0"/>
            </w:tcBorders>
            <w:shd w:val="clear" w:color="auto" w:fill="auto"/>
            <w:vAlign w:val="center"/>
          </w:tcPr>
          <w:p>
            <w:pPr>
              <w:widowControl/>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水体污染物排放</w:t>
            </w:r>
          </w:p>
        </w:tc>
        <w:tc>
          <w:tcPr>
            <w:tcW w:w="431" w:type="pct"/>
            <w:tcBorders>
              <w:top w:val="nil"/>
              <w:left w:val="nil"/>
              <w:right w:val="single" w:color="auto" w:sz="4" w:space="0"/>
            </w:tcBorders>
            <w:shd w:val="clear" w:color="auto" w:fill="auto"/>
            <w:vAlign w:val="center"/>
          </w:tcPr>
          <w:p>
            <w:pPr>
              <w:widowControl/>
              <w:jc w:val="center"/>
              <w:rPr>
                <w:rFonts w:ascii="Times New Roman" w:hAnsi="Times New Roman" w:eastAsia="宋体" w:cs="Times New Roman"/>
                <w:color w:val="000000"/>
                <w:kern w:val="0"/>
                <w:sz w:val="18"/>
                <w:szCs w:val="18"/>
              </w:rPr>
            </w:pPr>
            <w:r>
              <w:rPr>
                <w:rFonts w:ascii="Times New Roman" w:hAnsi="Times New Roman" w:eastAsia="宋体" w:cs="Times New Roman"/>
                <w:color w:val="000000"/>
                <w:kern w:val="0"/>
                <w:sz w:val="18"/>
                <w:szCs w:val="18"/>
              </w:rPr>
              <w:t>-</w:t>
            </w:r>
          </w:p>
        </w:tc>
        <w:tc>
          <w:tcPr>
            <w:tcW w:w="1622" w:type="pct"/>
            <w:tcBorders>
              <w:top w:val="nil"/>
              <w:left w:val="nil"/>
              <w:right w:val="single" w:color="auto" w:sz="4" w:space="0"/>
            </w:tcBorders>
            <w:shd w:val="clear" w:color="auto" w:fill="auto"/>
            <w:vAlign w:val="center"/>
          </w:tcPr>
          <w:p>
            <w:pPr>
              <w:widowControl/>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生产废水无外排</w:t>
            </w:r>
          </w:p>
        </w:tc>
        <w:tc>
          <w:tcPr>
            <w:tcW w:w="1199" w:type="pct"/>
            <w:tcBorders>
              <w:top w:val="nil"/>
              <w:left w:val="nil"/>
              <w:right w:val="single" w:color="auto" w:sz="4" w:space="0"/>
            </w:tcBorders>
            <w:shd w:val="clear" w:color="auto" w:fill="auto"/>
            <w:vAlign w:val="center"/>
          </w:tcPr>
          <w:p>
            <w:pPr>
              <w:widowControl/>
              <w:jc w:val="center"/>
              <w:rPr>
                <w:rFonts w:ascii="Times New Roman" w:hAnsi="Times New Roman" w:eastAsia="宋体" w:cs="Times New Roman"/>
                <w:color w:val="000000"/>
                <w:kern w:val="0"/>
                <w:sz w:val="18"/>
                <w:szCs w:val="18"/>
              </w:rPr>
            </w:pPr>
            <w:r>
              <w:rPr>
                <w:rFonts w:ascii="Times New Roman" w:hAnsi="Times New Roman" w:eastAsia="宋体" w:cs="Times New Roman"/>
                <w:color w:val="000000"/>
                <w:kern w:val="0"/>
                <w:sz w:val="18"/>
                <w:szCs w:val="18"/>
              </w:rPr>
              <w:t>-</w:t>
            </w:r>
          </w:p>
        </w:tc>
        <w:tc>
          <w:tcPr>
            <w:tcW w:w="404" w:type="pct"/>
            <w:tcBorders>
              <w:top w:val="nil"/>
              <w:left w:val="nil"/>
            </w:tcBorders>
            <w:shd w:val="clear" w:color="auto" w:fill="auto"/>
            <w:vAlign w:val="center"/>
          </w:tcPr>
          <w:p>
            <w:pPr>
              <w:widowControl/>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产品生产</w:t>
            </w:r>
          </w:p>
        </w:tc>
      </w:tr>
    </w:tbl>
    <w:p>
      <w:pPr>
        <w:pStyle w:val="2"/>
        <w:rPr>
          <w:b/>
        </w:rPr>
      </w:pPr>
    </w:p>
    <w:p>
      <w:pPr>
        <w:pStyle w:val="2"/>
        <w:rPr>
          <w:b/>
        </w:rPr>
      </w:pPr>
    </w:p>
    <w:p>
      <w:pPr>
        <w:spacing w:line="276" w:lineRule="auto"/>
        <w:ind w:firstLine="480" w:firstLineChars="200"/>
        <w:rPr>
          <w:sz w:val="24"/>
          <w:szCs w:val="32"/>
        </w:rPr>
      </w:pPr>
      <w:r>
        <w:rPr>
          <w:rFonts w:hint="eastAsia"/>
          <w:sz w:val="24"/>
          <w:szCs w:val="32"/>
        </w:rPr>
        <w:t>生态环保部《关于印发《重污染天气重点行业应急减排措施制定技术指南(2020年修订版)》的函》（环办大气函</w:t>
      </w:r>
      <w:r>
        <w:rPr>
          <w:sz w:val="24"/>
          <w:szCs w:val="32"/>
        </w:rPr>
        <w:t>[2020]</w:t>
      </w:r>
      <w:r>
        <w:rPr>
          <w:rFonts w:hint="eastAsia"/>
          <w:sz w:val="24"/>
          <w:szCs w:val="32"/>
        </w:rPr>
        <w:t>340号）中对北京、天津、河北、山西、上海、浙江、江苏、安徽、山东、河南和陕西是一个省市的部分行业提出了基于精准治污、科学治污、依法治污的污染区治理要求。</w:t>
      </w:r>
    </w:p>
    <w:p>
      <w:pPr>
        <w:spacing w:line="276" w:lineRule="auto"/>
        <w:ind w:firstLine="480" w:firstLineChars="200"/>
        <w:rPr>
          <w:sz w:val="24"/>
          <w:szCs w:val="32"/>
        </w:rPr>
      </w:pPr>
      <w:r>
        <w:rPr>
          <w:rFonts w:hint="eastAsia"/>
          <w:sz w:val="24"/>
          <w:szCs w:val="32"/>
        </w:rPr>
        <w:t>编制组参考了《重污染天气重点行业应急减排措施制定技术指南(2020年修订版)》</w:t>
      </w:r>
      <w:r>
        <w:rPr>
          <w:rFonts w:hint="eastAsia"/>
          <w:sz w:val="24"/>
          <w:szCs w:val="32"/>
          <w:lang w:eastAsia="zh-CN"/>
        </w:rPr>
        <w:t>石灰</w:t>
      </w:r>
      <w:r>
        <w:rPr>
          <w:rFonts w:hint="eastAsia"/>
          <w:sz w:val="24"/>
          <w:szCs w:val="32"/>
        </w:rPr>
        <w:t>行业绩效分级指标中</w:t>
      </w:r>
      <w:commentRangeStart w:id="2"/>
      <w:r>
        <w:rPr>
          <w:rFonts w:hint="eastAsia"/>
          <w:sz w:val="24"/>
          <w:szCs w:val="32"/>
        </w:rPr>
        <w:t>B级企业</w:t>
      </w:r>
      <w:commentRangeEnd w:id="2"/>
      <w:r>
        <w:commentReference w:id="2"/>
      </w:r>
      <w:r>
        <w:rPr>
          <w:rFonts w:hint="eastAsia"/>
          <w:sz w:val="24"/>
          <w:szCs w:val="32"/>
        </w:rPr>
        <w:t>的相关指标要求，对</w:t>
      </w:r>
      <w:r>
        <w:rPr>
          <w:rFonts w:hint="eastAsia"/>
          <w:sz w:val="24"/>
          <w:szCs w:val="32"/>
          <w:lang w:eastAsia="zh-CN"/>
        </w:rPr>
        <w:t>石灰</w:t>
      </w:r>
      <w:r>
        <w:rPr>
          <w:rFonts w:hint="eastAsia"/>
          <w:sz w:val="24"/>
          <w:szCs w:val="32"/>
          <w:lang w:val="en-US" w:eastAsia="zh-CN"/>
        </w:rPr>
        <w:t>企业</w:t>
      </w:r>
      <w:r>
        <w:rPr>
          <w:rFonts w:hint="eastAsia"/>
          <w:sz w:val="24"/>
          <w:szCs w:val="32"/>
        </w:rPr>
        <w:t>的大气污染物排放限值进行了规定，同时对企业的无组织排放限值与相应管控措施进行了要求。</w:t>
      </w:r>
    </w:p>
    <w:p>
      <w:pPr>
        <w:pStyle w:val="47"/>
        <w:spacing w:line="276" w:lineRule="auto"/>
        <w:rPr>
          <w:rFonts w:ascii="Times New Roman" w:hAnsi="Times New Roman" w:cs="Times New Roman"/>
          <w:sz w:val="28"/>
          <w:szCs w:val="36"/>
        </w:rPr>
      </w:pPr>
      <w:r>
        <w:rPr>
          <w:rFonts w:ascii="Times New Roman" w:hAnsi="Times New Roman" w:cs="Times New Roman"/>
          <w:sz w:val="28"/>
          <w:szCs w:val="36"/>
        </w:rPr>
        <w:t>3.2.4.4 产品属性</w:t>
      </w:r>
    </w:p>
    <w:p>
      <w:pPr>
        <w:spacing w:line="276" w:lineRule="auto"/>
        <w:ind w:firstLine="480" w:firstLineChars="200"/>
        <w:rPr>
          <w:color w:val="000000"/>
          <w:sz w:val="24"/>
          <w:szCs w:val="32"/>
        </w:rPr>
      </w:pPr>
      <w:r>
        <w:rPr>
          <w:rFonts w:hint="eastAsia"/>
          <w:sz w:val="24"/>
          <w:szCs w:val="32"/>
        </w:rPr>
        <w:t>产品</w:t>
      </w:r>
      <w:r>
        <w:rPr>
          <w:sz w:val="24"/>
          <w:szCs w:val="32"/>
        </w:rPr>
        <w:t>属性从</w:t>
      </w:r>
      <w:r>
        <w:rPr>
          <w:rFonts w:hint="eastAsia"/>
          <w:sz w:val="24"/>
          <w:szCs w:val="32"/>
          <w:lang w:val="en-US" w:eastAsia="zh-CN"/>
        </w:rPr>
        <w:t>成品有效钙含量、成品石灰生过烧率</w:t>
      </w:r>
      <w:r>
        <w:rPr>
          <w:sz w:val="24"/>
          <w:szCs w:val="32"/>
        </w:rPr>
        <w:t>等方面提出指标要求，</w:t>
      </w:r>
      <w:r>
        <w:rPr>
          <w:color w:val="000000"/>
          <w:sz w:val="24"/>
          <w:szCs w:val="32"/>
        </w:rPr>
        <w:t>具体见下表。</w:t>
      </w:r>
    </w:p>
    <w:p>
      <w:pPr>
        <w:spacing w:line="276" w:lineRule="auto"/>
        <w:jc w:val="center"/>
        <w:rPr>
          <w:b/>
        </w:rPr>
      </w:pPr>
      <w:r>
        <w:rPr>
          <w:b/>
        </w:rPr>
        <w:t>表3-3</w:t>
      </w:r>
      <w:r>
        <w:rPr>
          <w:rFonts w:hint="eastAsia"/>
          <w:b/>
        </w:rPr>
        <w:t>产品</w:t>
      </w:r>
      <w:r>
        <w:rPr>
          <w:b/>
        </w:rPr>
        <w:t>属性相关指标</w:t>
      </w:r>
    </w:p>
    <w:tbl>
      <w:tblPr>
        <w:tblStyle w:val="27"/>
        <w:tblW w:w="0" w:type="auto"/>
        <w:tblInd w:w="0" w:type="dxa"/>
        <w:tblLayout w:type="autofit"/>
        <w:tblCellMar>
          <w:top w:w="0" w:type="dxa"/>
          <w:left w:w="108" w:type="dxa"/>
          <w:bottom w:w="0" w:type="dxa"/>
          <w:right w:w="108" w:type="dxa"/>
        </w:tblCellMar>
      </w:tblPr>
      <w:tblGrid>
        <w:gridCol w:w="936"/>
        <w:gridCol w:w="1656"/>
        <w:gridCol w:w="576"/>
        <w:gridCol w:w="756"/>
        <w:gridCol w:w="1296"/>
        <w:gridCol w:w="1656"/>
      </w:tblGrid>
      <w:tr>
        <w:tblPrEx>
          <w:tblCellMar>
            <w:top w:w="0" w:type="dxa"/>
            <w:left w:w="108" w:type="dxa"/>
            <w:bottom w:w="0" w:type="dxa"/>
            <w:right w:w="108" w:type="dxa"/>
          </w:tblCellMar>
        </w:tblPrEx>
        <w:trPr>
          <w:trHeight w:val="432" w:hRule="atLeast"/>
        </w:trPr>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pPr>
              <w:pStyle w:val="55"/>
              <w:adjustRightInd w:val="0"/>
              <w:snapToGrid w:val="0"/>
              <w:spacing w:before="156" w:after="120" w:line="276" w:lineRule="auto"/>
              <w:jc w:val="center"/>
              <w:rPr>
                <w:rFonts w:hint="eastAsia" w:ascii="Times New Roman" w:hAnsi="Times New Roman" w:eastAsia="宋体" w:cs="Times New Roman"/>
                <w:kern w:val="0"/>
                <w:sz w:val="18"/>
                <w:szCs w:val="18"/>
                <w:lang w:val="en-US" w:eastAsia="zh-CN" w:bidi="ar-SA"/>
              </w:rPr>
            </w:pP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pPr>
              <w:pStyle w:val="55"/>
              <w:adjustRightInd w:val="0"/>
              <w:snapToGrid w:val="0"/>
              <w:spacing w:before="156" w:after="120" w:line="276" w:lineRule="auto"/>
              <w:jc w:val="center"/>
              <w:rPr>
                <w:rFonts w:hint="eastAsia" w:ascii="Times New Roman" w:hAnsi="Times New Roman" w:eastAsia="宋体" w:cs="Times New Roman"/>
                <w:kern w:val="0"/>
                <w:sz w:val="18"/>
                <w:szCs w:val="18"/>
                <w:lang w:val="en-US" w:eastAsia="zh-CN" w:bidi="ar-SA"/>
              </w:rPr>
            </w:pPr>
            <w:r>
              <w:rPr>
                <w:rFonts w:hint="eastAsia" w:ascii="Times New Roman" w:eastAsia="宋体"/>
                <w:sz w:val="18"/>
                <w:szCs w:val="18"/>
              </w:rPr>
              <w:t>二级指标</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pPr>
              <w:pStyle w:val="55"/>
              <w:adjustRightInd w:val="0"/>
              <w:snapToGrid w:val="0"/>
              <w:spacing w:before="156" w:after="120" w:line="276" w:lineRule="auto"/>
              <w:jc w:val="center"/>
              <w:rPr>
                <w:rFonts w:hint="eastAsia" w:ascii="Times New Roman" w:hAnsi="Times New Roman" w:eastAsia="宋体" w:cs="Times New Roman"/>
                <w:kern w:val="0"/>
                <w:sz w:val="18"/>
                <w:szCs w:val="18"/>
                <w:lang w:val="en-US" w:eastAsia="zh-CN" w:bidi="ar-SA"/>
              </w:rPr>
            </w:pPr>
            <w:r>
              <w:rPr>
                <w:rFonts w:hint="eastAsia" w:ascii="Times New Roman" w:eastAsia="宋体"/>
                <w:sz w:val="18"/>
                <w:szCs w:val="18"/>
              </w:rPr>
              <w:t>单位</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pPr>
              <w:pStyle w:val="55"/>
              <w:adjustRightInd w:val="0"/>
              <w:snapToGrid w:val="0"/>
              <w:spacing w:before="156" w:after="120" w:line="276" w:lineRule="auto"/>
              <w:jc w:val="center"/>
              <w:rPr>
                <w:rFonts w:hint="eastAsia" w:ascii="Times New Roman" w:hAnsi="Times New Roman" w:eastAsia="宋体" w:cs="Times New Roman"/>
                <w:kern w:val="0"/>
                <w:sz w:val="18"/>
                <w:szCs w:val="18"/>
                <w:lang w:val="en-US" w:eastAsia="zh-CN" w:bidi="ar-SA"/>
              </w:rPr>
            </w:pPr>
            <w:r>
              <w:rPr>
                <w:rFonts w:hint="eastAsia" w:ascii="Times New Roman" w:eastAsia="宋体"/>
                <w:sz w:val="18"/>
                <w:szCs w:val="18"/>
              </w:rPr>
              <w:t>基准值</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pPr>
              <w:pStyle w:val="55"/>
              <w:adjustRightInd w:val="0"/>
              <w:snapToGrid w:val="0"/>
              <w:spacing w:before="156" w:after="120" w:line="276" w:lineRule="auto"/>
              <w:jc w:val="center"/>
              <w:rPr>
                <w:rFonts w:hint="eastAsia" w:ascii="Times New Roman" w:hAnsi="Times New Roman" w:eastAsia="宋体" w:cs="Times New Roman"/>
                <w:kern w:val="0"/>
                <w:sz w:val="18"/>
                <w:szCs w:val="18"/>
                <w:lang w:val="en-US" w:eastAsia="zh-CN" w:bidi="ar-SA"/>
              </w:rPr>
            </w:pPr>
            <w:r>
              <w:rPr>
                <w:rFonts w:hint="eastAsia" w:ascii="Times New Roman" w:eastAsia="宋体"/>
                <w:sz w:val="18"/>
                <w:szCs w:val="18"/>
              </w:rPr>
              <w:t>判定依据</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pPr>
              <w:pStyle w:val="55"/>
              <w:adjustRightInd w:val="0"/>
              <w:snapToGrid w:val="0"/>
              <w:spacing w:before="156" w:after="120" w:line="276" w:lineRule="auto"/>
              <w:jc w:val="center"/>
              <w:rPr>
                <w:rFonts w:hint="eastAsia" w:ascii="Times New Roman" w:hAnsi="Times New Roman" w:eastAsia="宋体" w:cs="Times New Roman"/>
                <w:kern w:val="0"/>
                <w:sz w:val="18"/>
                <w:szCs w:val="18"/>
                <w:lang w:val="en-US" w:eastAsia="zh-CN" w:bidi="ar-SA"/>
              </w:rPr>
            </w:pPr>
            <w:r>
              <w:rPr>
                <w:rFonts w:hint="eastAsia" w:ascii="Times New Roman" w:eastAsia="宋体"/>
                <w:sz w:val="18"/>
                <w:szCs w:val="18"/>
              </w:rPr>
              <w:t>所属生命周期阶段</w:t>
            </w:r>
          </w:p>
        </w:tc>
      </w:tr>
      <w:tr>
        <w:tblPrEx>
          <w:tblCellMar>
            <w:top w:w="0" w:type="dxa"/>
            <w:left w:w="108" w:type="dxa"/>
            <w:bottom w:w="0" w:type="dxa"/>
            <w:right w:w="108" w:type="dxa"/>
          </w:tblCellMar>
        </w:tblPrEx>
        <w:trPr>
          <w:trHeight w:val="432" w:hRule="atLeast"/>
        </w:trPr>
        <w:tc>
          <w:tcPr>
            <w:tcW w:w="0" w:type="auto"/>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产品属性</w:t>
            </w:r>
          </w:p>
          <w:p>
            <w:pPr>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　</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hint="default" w:ascii="宋体" w:hAnsi="宋体" w:eastAsia="宋体" w:cs="宋体"/>
                <w:color w:val="000000"/>
                <w:kern w:val="0"/>
                <w:sz w:val="18"/>
                <w:szCs w:val="18"/>
                <w:lang w:val="en-US" w:eastAsia="zh-CN"/>
              </w:rPr>
            </w:pPr>
            <w:r>
              <w:rPr>
                <w:rFonts w:hint="eastAsia" w:ascii="宋体" w:hAnsi="宋体" w:eastAsia="宋体" w:cs="宋体"/>
                <w:color w:val="000000"/>
                <w:kern w:val="0"/>
                <w:sz w:val="18"/>
                <w:szCs w:val="18"/>
                <w:lang w:val="en-US" w:eastAsia="zh-CN"/>
              </w:rPr>
              <w:t>成品有效钙含量</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Times New Roman" w:hAnsi="Times New Roman" w:eastAsia="宋体" w:cs="Times New Roman"/>
                <w:color w:val="000000"/>
                <w:kern w:val="0"/>
                <w:sz w:val="18"/>
                <w:szCs w:val="18"/>
              </w:rPr>
            </w:pPr>
            <w:r>
              <w:rPr>
                <w:rFonts w:hint="eastAsia" w:ascii="Times New Roman" w:hAnsi="Times New Roman" w:eastAsia="宋体" w:cs="Times New Roman"/>
                <w:color w:val="000000"/>
                <w:kern w:val="0"/>
                <w:sz w:val="18"/>
                <w:szCs w:val="18"/>
              </w:rPr>
              <w:t>%</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default" w:ascii="宋体" w:hAnsi="宋体" w:eastAsia="宋体" w:cs="宋体"/>
                <w:color w:val="000000"/>
                <w:kern w:val="0"/>
                <w:sz w:val="18"/>
                <w:szCs w:val="18"/>
                <w:lang w:val="en-US"/>
              </w:rPr>
            </w:pPr>
            <w:r>
              <w:rPr>
                <w:rFonts w:hint="eastAsia" w:ascii="宋体" w:hAnsi="宋体" w:eastAsia="宋体" w:cs="宋体"/>
                <w:color w:val="000000"/>
                <w:kern w:val="0"/>
                <w:sz w:val="18"/>
                <w:szCs w:val="18"/>
                <w:lang w:val="en-US" w:eastAsia="zh-CN"/>
              </w:rPr>
              <w:t>≥90</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hint="default" w:ascii="宋体" w:hAnsi="宋体" w:eastAsia="宋体" w:cs="宋体"/>
                <w:color w:val="000000"/>
                <w:kern w:val="0"/>
                <w:sz w:val="18"/>
                <w:szCs w:val="18"/>
                <w:lang w:val="en-US" w:eastAsia="zh-CN"/>
              </w:rPr>
            </w:pPr>
            <w:r>
              <w:rPr>
                <w:rFonts w:hint="eastAsia" w:ascii="宋体" w:hAnsi="宋体" w:eastAsia="宋体" w:cs="宋体"/>
                <w:color w:val="000000"/>
                <w:kern w:val="0"/>
                <w:sz w:val="18"/>
                <w:szCs w:val="18"/>
                <w:lang w:val="en-US" w:eastAsia="zh-CN"/>
              </w:rPr>
              <w:t>产品检测报告</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产品生产</w:t>
            </w:r>
          </w:p>
        </w:tc>
      </w:tr>
      <w:tr>
        <w:tblPrEx>
          <w:tblCellMar>
            <w:top w:w="0" w:type="dxa"/>
            <w:left w:w="108" w:type="dxa"/>
            <w:bottom w:w="0" w:type="dxa"/>
            <w:right w:w="108" w:type="dxa"/>
          </w:tblCellMar>
        </w:tblPrEx>
        <w:trPr>
          <w:trHeight w:val="288" w:hRule="atLeast"/>
        </w:trPr>
        <w:tc>
          <w:tcPr>
            <w:tcW w:w="0" w:type="auto"/>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 w:val="18"/>
                <w:szCs w:val="18"/>
              </w:rPr>
            </w:pP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hint="default" w:ascii="宋体" w:hAnsi="宋体" w:eastAsia="宋体" w:cs="宋体"/>
                <w:color w:val="000000"/>
                <w:kern w:val="0"/>
                <w:sz w:val="18"/>
                <w:szCs w:val="18"/>
                <w:lang w:val="en-US" w:eastAsia="zh-CN"/>
              </w:rPr>
            </w:pPr>
            <w:r>
              <w:rPr>
                <w:rFonts w:hint="eastAsia" w:ascii="宋体" w:hAnsi="宋体" w:eastAsia="宋体" w:cs="宋体"/>
                <w:color w:val="000000"/>
                <w:kern w:val="0"/>
                <w:sz w:val="18"/>
                <w:szCs w:val="18"/>
                <w:lang w:val="en-US" w:eastAsia="zh-CN"/>
              </w:rPr>
              <w:t>成品石灰生过烧率</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Times New Roman" w:hAnsi="Times New Roman" w:eastAsia="宋体" w:cs="Times New Roman"/>
                <w:color w:val="000000"/>
                <w:kern w:val="0"/>
                <w:sz w:val="18"/>
                <w:szCs w:val="18"/>
              </w:rPr>
            </w:pPr>
            <w:r>
              <w:rPr>
                <w:rFonts w:ascii="Times New Roman" w:hAnsi="Times New Roman" w:eastAsia="宋体" w:cs="Times New Roman"/>
                <w:color w:val="000000"/>
                <w:kern w:val="0"/>
                <w:sz w:val="18"/>
                <w:szCs w:val="18"/>
              </w:rPr>
              <w:t>%</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lang w:val="en-US" w:eastAsia="zh-CN"/>
              </w:rPr>
              <w:t>≥</w:t>
            </w:r>
            <w:r>
              <w:rPr>
                <w:rFonts w:hint="eastAsia" w:ascii="宋体" w:hAnsi="宋体" w:eastAsia="宋体" w:cs="宋体"/>
                <w:color w:val="000000"/>
                <w:kern w:val="0"/>
                <w:sz w:val="18"/>
                <w:szCs w:val="18"/>
              </w:rPr>
              <w:t>90%</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lang w:val="en-US" w:eastAsia="zh-CN"/>
              </w:rPr>
              <w:t>产品检测报告</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产品运输</w:t>
            </w:r>
          </w:p>
        </w:tc>
      </w:tr>
    </w:tbl>
    <w:p>
      <w:pPr>
        <w:spacing w:line="276" w:lineRule="auto"/>
        <w:rPr>
          <w:sz w:val="24"/>
          <w:szCs w:val="32"/>
        </w:rPr>
      </w:pPr>
    </w:p>
    <w:p>
      <w:pPr>
        <w:spacing w:line="276" w:lineRule="auto"/>
        <w:ind w:firstLine="480" w:firstLineChars="200"/>
        <w:rPr>
          <w:rFonts w:hint="default" w:eastAsia="宋体"/>
          <w:lang w:val="en-US" w:eastAsia="zh-CN"/>
        </w:rPr>
      </w:pPr>
      <w:r>
        <w:rPr>
          <w:rFonts w:hint="eastAsia"/>
          <w:sz w:val="24"/>
          <w:szCs w:val="32"/>
          <w:lang w:val="en-US" w:eastAsia="zh-CN"/>
        </w:rPr>
        <w:t>石灰产品重要指标为有效钙含量与石灰生过烧率，这2个数据基准值来自</w:t>
      </w:r>
      <w:r>
        <w:rPr>
          <w:rFonts w:hint="eastAsia" w:ascii="Times New Roman"/>
          <w:sz w:val="24"/>
          <w:szCs w:val="22"/>
          <w:lang w:val="en-US" w:eastAsia="zh-CN"/>
        </w:rPr>
        <w:t>《石灰行业清洁生产评价标准》（T/CLA００２－２０１）</w:t>
      </w:r>
      <w:r>
        <w:rPr>
          <w:rFonts w:hint="eastAsia"/>
          <w:sz w:val="24"/>
          <w:szCs w:val="22"/>
          <w:lang w:val="en-US" w:eastAsia="zh-CN"/>
        </w:rPr>
        <w:t>的产品特征的</w:t>
      </w:r>
      <w:commentRangeStart w:id="3"/>
      <w:r>
        <w:rPr>
          <w:rFonts w:hint="eastAsia"/>
          <w:sz w:val="24"/>
          <w:szCs w:val="22"/>
          <w:lang w:val="en-US" w:eastAsia="zh-CN"/>
        </w:rPr>
        <w:t>二级基准值</w:t>
      </w:r>
      <w:commentRangeEnd w:id="3"/>
      <w:r>
        <w:commentReference w:id="3"/>
      </w:r>
      <w:r>
        <w:rPr>
          <w:rFonts w:hint="eastAsia"/>
          <w:sz w:val="24"/>
          <w:szCs w:val="22"/>
          <w:lang w:val="en-US" w:eastAsia="zh-CN"/>
        </w:rPr>
        <w:t>。</w:t>
      </w:r>
    </w:p>
    <w:p>
      <w:pPr>
        <w:pStyle w:val="46"/>
        <w:spacing w:line="276" w:lineRule="auto"/>
        <w:rPr>
          <w:rFonts w:cs="Times New Roman"/>
          <w:sz w:val="28"/>
          <w:szCs w:val="28"/>
        </w:rPr>
      </w:pPr>
      <w:bookmarkStart w:id="27" w:name="_Toc42087774"/>
      <w:r>
        <w:rPr>
          <w:rFonts w:cs="Times New Roman"/>
          <w:sz w:val="28"/>
          <w:szCs w:val="28"/>
        </w:rPr>
        <w:t>3.2.5</w:t>
      </w:r>
      <w:r>
        <w:rPr>
          <w:rFonts w:hint="eastAsia" w:cs="Times New Roman"/>
          <w:sz w:val="28"/>
          <w:szCs w:val="28"/>
        </w:rPr>
        <w:t xml:space="preserve"> 产品生命周期评价报告编制方法</w:t>
      </w:r>
      <w:bookmarkEnd w:id="27"/>
    </w:p>
    <w:p>
      <w:pPr>
        <w:spacing w:line="276" w:lineRule="auto"/>
        <w:ind w:firstLine="480" w:firstLineChars="200"/>
        <w:rPr>
          <w:sz w:val="24"/>
          <w:szCs w:val="32"/>
        </w:rPr>
      </w:pPr>
      <w:r>
        <w:rPr>
          <w:rFonts w:hint="eastAsia"/>
          <w:sz w:val="24"/>
          <w:szCs w:val="32"/>
        </w:rPr>
        <w:t>生命周期评价报告中应包含两部分内容，第一部分为基本信息部分，基本信息部分里</w:t>
      </w:r>
      <w:r>
        <w:rPr>
          <w:sz w:val="24"/>
          <w:szCs w:val="32"/>
        </w:rPr>
        <w:t>应提供报告信息、申请者信息、评估对象信息、采用的标准信息等基本信息，其中报告信息包括报告编号、编制人员、审核人员、发布日期等，申请者信息包括公司全称、统一社会信用代码、地址、联系人、联系方式等。</w:t>
      </w:r>
      <w:r>
        <w:rPr>
          <w:rFonts w:hint="eastAsia"/>
          <w:sz w:val="24"/>
          <w:szCs w:val="32"/>
        </w:rPr>
        <w:t>同时</w:t>
      </w:r>
      <w:r>
        <w:rPr>
          <w:sz w:val="24"/>
          <w:szCs w:val="32"/>
        </w:rPr>
        <w:t>在报告中</w:t>
      </w:r>
      <w:r>
        <w:rPr>
          <w:rFonts w:hint="eastAsia"/>
          <w:sz w:val="24"/>
          <w:szCs w:val="32"/>
        </w:rPr>
        <w:t>也</w:t>
      </w:r>
      <w:r>
        <w:rPr>
          <w:sz w:val="24"/>
          <w:szCs w:val="32"/>
        </w:rPr>
        <w:t>应标注产品的主要技术参数，如产品名称、强度等级等。</w:t>
      </w:r>
    </w:p>
    <w:p>
      <w:pPr>
        <w:spacing w:line="276" w:lineRule="auto"/>
        <w:ind w:firstLine="480" w:firstLineChars="200"/>
        <w:rPr>
          <w:sz w:val="24"/>
          <w:szCs w:val="32"/>
        </w:rPr>
      </w:pPr>
      <w:r>
        <w:rPr>
          <w:rFonts w:hint="eastAsia"/>
          <w:sz w:val="24"/>
          <w:szCs w:val="32"/>
        </w:rPr>
        <w:t>第二部分为</w:t>
      </w:r>
      <w:r>
        <w:rPr>
          <w:sz w:val="24"/>
          <w:szCs w:val="32"/>
        </w:rPr>
        <w:t>符合性评价</w:t>
      </w:r>
      <w:r>
        <w:rPr>
          <w:rFonts w:hint="eastAsia"/>
          <w:sz w:val="24"/>
          <w:szCs w:val="32"/>
        </w:rPr>
        <w:t>部分，该部分需要在</w:t>
      </w:r>
      <w:r>
        <w:rPr>
          <w:sz w:val="24"/>
          <w:szCs w:val="32"/>
        </w:rPr>
        <w:t>报告中提供对基本要求和评价指标要求的符合性情况，并提供所有评价指标报告期与基期改进情况的说明。其中报告期为当前评价的年份，一般是指产品参与评价年份的上一年；基期为一个对照年份，一般比报告期提前一年。</w:t>
      </w:r>
    </w:p>
    <w:p>
      <w:pPr>
        <w:spacing w:line="276" w:lineRule="auto"/>
        <w:ind w:firstLine="480" w:firstLineChars="200"/>
        <w:rPr>
          <w:sz w:val="24"/>
          <w:szCs w:val="32"/>
        </w:rPr>
      </w:pPr>
      <w:r>
        <w:rPr>
          <w:sz w:val="24"/>
          <w:szCs w:val="32"/>
        </w:rPr>
        <w:t>附录B</w:t>
      </w:r>
      <w:r>
        <w:rPr>
          <w:rFonts w:hint="eastAsia"/>
          <w:sz w:val="24"/>
          <w:szCs w:val="32"/>
        </w:rPr>
        <w:t>中提供了</w:t>
      </w:r>
      <w:r>
        <w:rPr>
          <w:sz w:val="24"/>
          <w:szCs w:val="32"/>
        </w:rPr>
        <w:t>编制生命周期评价报告</w:t>
      </w:r>
      <w:r>
        <w:rPr>
          <w:rFonts w:hint="eastAsia"/>
          <w:sz w:val="24"/>
          <w:szCs w:val="32"/>
        </w:rPr>
        <w:t>的方法和流程</w:t>
      </w:r>
      <w:r>
        <w:rPr>
          <w:sz w:val="24"/>
          <w:szCs w:val="32"/>
        </w:rPr>
        <w:t>。</w:t>
      </w:r>
      <w:r>
        <w:rPr>
          <w:rFonts w:hint="eastAsia"/>
          <w:sz w:val="24"/>
          <w:szCs w:val="32"/>
        </w:rPr>
        <w:t>主要包括评价对象及工具、生命周期清单分析、生命周期影响评价和绿色设计改进方案。</w:t>
      </w:r>
    </w:p>
    <w:p>
      <w:pPr>
        <w:spacing w:line="276" w:lineRule="auto"/>
        <w:ind w:firstLine="480" w:firstLineChars="200"/>
        <w:rPr>
          <w:sz w:val="24"/>
          <w:szCs w:val="32"/>
        </w:rPr>
      </w:pPr>
      <w:r>
        <w:rPr>
          <w:rFonts w:hint="eastAsia"/>
          <w:sz w:val="24"/>
          <w:szCs w:val="32"/>
        </w:rPr>
        <w:t>报告的最后需要依据基本要求、评价指标、生命周期评价报告以及改进方案得出该种产品是否是绿色设计产品的初步结论。此外，还需要提供产品主要原材料清单、产品工艺流程图以及各单元过程的数据收集表等资料来证明核查过程的来源和依据。</w:t>
      </w:r>
    </w:p>
    <w:p>
      <w:pPr>
        <w:pStyle w:val="46"/>
        <w:spacing w:line="276" w:lineRule="auto"/>
        <w:rPr>
          <w:rFonts w:cs="Times New Roman"/>
          <w:sz w:val="28"/>
          <w:szCs w:val="28"/>
        </w:rPr>
      </w:pPr>
      <w:bookmarkStart w:id="28" w:name="_Toc42087775"/>
      <w:r>
        <w:rPr>
          <w:rFonts w:hint="eastAsia" w:cs="Times New Roman"/>
          <w:sz w:val="28"/>
          <w:szCs w:val="28"/>
        </w:rPr>
        <w:t>3.2.</w:t>
      </w:r>
      <w:r>
        <w:rPr>
          <w:rFonts w:cs="Times New Roman"/>
          <w:sz w:val="28"/>
          <w:szCs w:val="28"/>
        </w:rPr>
        <w:t>6</w:t>
      </w:r>
      <w:r>
        <w:rPr>
          <w:rFonts w:hint="eastAsia" w:cs="Times New Roman"/>
          <w:sz w:val="28"/>
          <w:szCs w:val="28"/>
        </w:rPr>
        <w:t>评价方法</w:t>
      </w:r>
      <w:bookmarkEnd w:id="28"/>
    </w:p>
    <w:p>
      <w:pPr>
        <w:spacing w:line="276" w:lineRule="auto"/>
        <w:ind w:firstLine="480" w:firstLineChars="200"/>
        <w:rPr>
          <w:sz w:val="24"/>
          <w:szCs w:val="32"/>
        </w:rPr>
      </w:pPr>
      <w:r>
        <w:rPr>
          <w:rFonts w:hint="eastAsia"/>
          <w:sz w:val="24"/>
          <w:szCs w:val="32"/>
        </w:rPr>
        <w:t>同时满足基本要求、评价指标要求以及提供产品生命周期评价报告三项要求的产品可判定为绿色设计产品：判定为绿色设计产品的可按照 GB/T32162的要求粘贴标识，可以各种形式进行相关信息自我声明，声明内容应包括但不限于基本要求、评价指标的要求，但需要提供相关的符合有关要求的验证说明材料。</w:t>
      </w:r>
    </w:p>
    <w:p>
      <w:pPr>
        <w:pStyle w:val="46"/>
        <w:spacing w:line="276" w:lineRule="auto"/>
        <w:rPr>
          <w:rFonts w:cs="Times New Roman"/>
          <w:sz w:val="28"/>
          <w:szCs w:val="28"/>
        </w:rPr>
      </w:pPr>
      <w:bookmarkStart w:id="29" w:name="_Toc42087776"/>
      <w:r>
        <w:rPr>
          <w:rFonts w:hint="eastAsia" w:cs="Times New Roman"/>
          <w:sz w:val="28"/>
          <w:szCs w:val="28"/>
        </w:rPr>
        <w:t>3.2.</w:t>
      </w:r>
      <w:r>
        <w:rPr>
          <w:rFonts w:cs="Times New Roman"/>
          <w:sz w:val="28"/>
          <w:szCs w:val="28"/>
        </w:rPr>
        <w:t xml:space="preserve">7 </w:t>
      </w:r>
      <w:r>
        <w:rPr>
          <w:rFonts w:hint="eastAsia" w:cs="Times New Roman"/>
          <w:sz w:val="28"/>
          <w:szCs w:val="28"/>
        </w:rPr>
        <w:t>附录A</w:t>
      </w:r>
      <w:bookmarkEnd w:id="29"/>
    </w:p>
    <w:p>
      <w:pPr>
        <w:spacing w:line="360" w:lineRule="auto"/>
        <w:ind w:firstLine="480" w:firstLineChars="200"/>
        <w:rPr>
          <w:sz w:val="24"/>
          <w:szCs w:val="32"/>
        </w:rPr>
      </w:pPr>
      <w:r>
        <w:rPr>
          <w:rFonts w:hint="eastAsia"/>
          <w:sz w:val="24"/>
          <w:szCs w:val="32"/>
        </w:rPr>
        <w:t>附录A为规范性附录，列</w:t>
      </w:r>
      <w:r>
        <w:rPr>
          <w:rFonts w:hint="eastAsia" w:ascii="宋体" w:hAnsi="宋体"/>
          <w:sz w:val="24"/>
        </w:rPr>
        <w:t>出了部分需通过计算获得数值的评价指标要求的</w:t>
      </w:r>
      <w:r>
        <w:rPr>
          <w:rFonts w:hint="eastAsia"/>
          <w:sz w:val="24"/>
          <w:szCs w:val="32"/>
        </w:rPr>
        <w:t>计算公式。为评价指标的获得提供了相应的计算方法与计算依据。包含</w:t>
      </w:r>
      <w:r>
        <w:rPr>
          <w:rFonts w:hint="eastAsia"/>
          <w:sz w:val="24"/>
          <w:szCs w:val="32"/>
          <w:lang w:val="en-US" w:eastAsia="zh-CN"/>
        </w:rPr>
        <w:t>燃料替代率、工业固体废物综合利用率、废水回用率、煅烧工序煤耗和电耗</w:t>
      </w:r>
      <w:r>
        <w:rPr>
          <w:rFonts w:hint="eastAsia"/>
          <w:sz w:val="24"/>
          <w:szCs w:val="32"/>
        </w:rPr>
        <w:t>的计算方法。</w:t>
      </w:r>
    </w:p>
    <w:p>
      <w:pPr>
        <w:spacing w:line="276" w:lineRule="auto"/>
        <w:ind w:firstLine="480" w:firstLineChars="200"/>
        <w:rPr>
          <w:sz w:val="24"/>
          <w:szCs w:val="32"/>
        </w:rPr>
      </w:pPr>
    </w:p>
    <w:p>
      <w:pPr>
        <w:pStyle w:val="46"/>
        <w:spacing w:line="276" w:lineRule="auto"/>
        <w:rPr>
          <w:rFonts w:cs="Times New Roman"/>
          <w:sz w:val="28"/>
          <w:szCs w:val="28"/>
        </w:rPr>
      </w:pPr>
      <w:bookmarkStart w:id="30" w:name="_Toc42087777"/>
      <w:r>
        <w:rPr>
          <w:rFonts w:hint="eastAsia" w:cs="Times New Roman"/>
          <w:sz w:val="28"/>
          <w:szCs w:val="28"/>
        </w:rPr>
        <w:t>3.2.</w:t>
      </w:r>
      <w:r>
        <w:rPr>
          <w:rFonts w:cs="Times New Roman"/>
          <w:sz w:val="28"/>
          <w:szCs w:val="28"/>
        </w:rPr>
        <w:t xml:space="preserve">8 </w:t>
      </w:r>
      <w:r>
        <w:rPr>
          <w:rFonts w:hint="eastAsia" w:cs="Times New Roman"/>
          <w:sz w:val="28"/>
          <w:szCs w:val="28"/>
        </w:rPr>
        <w:t>附录B</w:t>
      </w:r>
      <w:bookmarkEnd w:id="30"/>
    </w:p>
    <w:p>
      <w:pPr>
        <w:spacing w:line="276" w:lineRule="auto"/>
        <w:ind w:firstLine="480" w:firstLineChars="200"/>
        <w:rPr>
          <w:sz w:val="24"/>
          <w:szCs w:val="32"/>
        </w:rPr>
      </w:pPr>
      <w:r>
        <w:rPr>
          <w:rFonts w:hint="eastAsia"/>
          <w:sz w:val="24"/>
          <w:szCs w:val="32"/>
        </w:rPr>
        <w:t>附录B为资料性附录，是</w:t>
      </w:r>
      <w:r>
        <w:rPr>
          <w:rFonts w:hint="eastAsia"/>
          <w:sz w:val="24"/>
          <w:szCs w:val="32"/>
          <w:lang w:eastAsia="zh-CN"/>
        </w:rPr>
        <w:t>石灰</w:t>
      </w:r>
      <w:r>
        <w:rPr>
          <w:rFonts w:hint="eastAsia"/>
          <w:sz w:val="24"/>
          <w:szCs w:val="32"/>
        </w:rPr>
        <w:t>产品编制生命周期评价报告的方法和依据。附录B依据G</w:t>
      </w:r>
      <w:r>
        <w:rPr>
          <w:sz w:val="24"/>
          <w:szCs w:val="32"/>
        </w:rPr>
        <w:t xml:space="preserve">B/T </w:t>
      </w:r>
      <w:r>
        <w:rPr>
          <w:rFonts w:hint="eastAsia"/>
          <w:sz w:val="24"/>
          <w:szCs w:val="32"/>
        </w:rPr>
        <w:t>32161-2015《生态设计产品评价通则》和G</w:t>
      </w:r>
      <w:r>
        <w:rPr>
          <w:sz w:val="24"/>
          <w:szCs w:val="32"/>
        </w:rPr>
        <w:t>B</w:t>
      </w:r>
      <w:r>
        <w:rPr>
          <w:rFonts w:hint="eastAsia"/>
          <w:sz w:val="24"/>
          <w:szCs w:val="32"/>
        </w:rPr>
        <w:t>/</w:t>
      </w:r>
      <w:r>
        <w:rPr>
          <w:sz w:val="24"/>
          <w:szCs w:val="32"/>
        </w:rPr>
        <w:t xml:space="preserve">T </w:t>
      </w:r>
      <w:r>
        <w:rPr>
          <w:rFonts w:hint="eastAsia"/>
          <w:sz w:val="24"/>
          <w:szCs w:val="32"/>
        </w:rPr>
        <w:t>24040《环境管理+生命周期评价原则与框架》编制而成，包括目的和范围的确定、生命周期清单分析、生命周期影响评价及生命周期解释和报告阶段。</w:t>
      </w:r>
    </w:p>
    <w:p>
      <w:pPr>
        <w:pStyle w:val="47"/>
        <w:spacing w:line="276" w:lineRule="auto"/>
        <w:rPr>
          <w:rFonts w:ascii="Times New Roman" w:hAnsi="Times New Roman" w:cs="Times New Roman"/>
          <w:sz w:val="28"/>
          <w:szCs w:val="36"/>
        </w:rPr>
      </w:pPr>
      <w:r>
        <w:rPr>
          <w:rFonts w:hint="eastAsia" w:ascii="Times New Roman" w:hAnsi="Times New Roman" w:cs="Times New Roman"/>
          <w:sz w:val="28"/>
          <w:szCs w:val="36"/>
        </w:rPr>
        <w:t>3.2.</w:t>
      </w:r>
      <w:r>
        <w:rPr>
          <w:rFonts w:ascii="Times New Roman" w:hAnsi="Times New Roman" w:cs="Times New Roman"/>
          <w:sz w:val="28"/>
          <w:szCs w:val="36"/>
        </w:rPr>
        <w:t>8</w:t>
      </w:r>
      <w:r>
        <w:rPr>
          <w:rFonts w:hint="eastAsia" w:ascii="Times New Roman" w:hAnsi="Times New Roman" w:cs="Times New Roman"/>
          <w:sz w:val="28"/>
          <w:szCs w:val="36"/>
        </w:rPr>
        <w:t>.1</w:t>
      </w:r>
      <w:r>
        <w:rPr>
          <w:rFonts w:ascii="Times New Roman" w:hAnsi="Times New Roman" w:cs="Times New Roman"/>
          <w:sz w:val="28"/>
          <w:szCs w:val="36"/>
        </w:rPr>
        <w:t xml:space="preserve"> </w:t>
      </w:r>
      <w:r>
        <w:rPr>
          <w:rFonts w:hint="eastAsia" w:ascii="Times New Roman" w:hAnsi="Times New Roman" w:cs="Times New Roman"/>
          <w:sz w:val="28"/>
          <w:szCs w:val="36"/>
        </w:rPr>
        <w:t>目的和范围的确定</w:t>
      </w:r>
    </w:p>
    <w:p>
      <w:pPr>
        <w:spacing w:line="276" w:lineRule="auto"/>
        <w:ind w:firstLine="480" w:firstLineChars="200"/>
        <w:rPr>
          <w:sz w:val="24"/>
          <w:szCs w:val="32"/>
        </w:rPr>
      </w:pPr>
      <w:r>
        <w:rPr>
          <w:rFonts w:hint="eastAsia"/>
          <w:sz w:val="24"/>
          <w:szCs w:val="32"/>
        </w:rPr>
        <w:t>目的与范围的确定是生命周期评价中的第一步，也是至为重要的一步，其重要性在于它决定为何要进行某项生命周期评价（包括对其结果的应用意图），并表述所要研究的系统和数据类型。</w:t>
      </w:r>
    </w:p>
    <w:p>
      <w:pPr>
        <w:spacing w:line="276" w:lineRule="auto"/>
        <w:ind w:firstLine="480" w:firstLineChars="200"/>
        <w:rPr>
          <w:sz w:val="24"/>
          <w:szCs w:val="32"/>
        </w:rPr>
      </w:pPr>
      <w:r>
        <w:rPr>
          <w:rFonts w:hint="eastAsia"/>
          <w:sz w:val="24"/>
          <w:szCs w:val="32"/>
        </w:rPr>
        <w:t>（1）目的</w:t>
      </w:r>
    </w:p>
    <w:p>
      <w:pPr>
        <w:spacing w:line="276" w:lineRule="auto"/>
        <w:ind w:firstLine="480" w:firstLineChars="200"/>
        <w:rPr>
          <w:kern w:val="0"/>
          <w:sz w:val="24"/>
        </w:rPr>
      </w:pPr>
      <w:r>
        <w:rPr>
          <w:sz w:val="24"/>
          <w:szCs w:val="32"/>
        </w:rPr>
        <w:t xml:space="preserve">GB/T </w:t>
      </w:r>
      <w:r>
        <w:rPr>
          <w:rFonts w:hint="eastAsia"/>
          <w:sz w:val="24"/>
          <w:szCs w:val="32"/>
        </w:rPr>
        <w:t>24040中要求，研究目的中须明确陈述其应用意图，开展该项研究的理由以及它的使用对象。因此本标准的目的为</w:t>
      </w:r>
      <w:r>
        <w:rPr>
          <w:kern w:val="0"/>
          <w:sz w:val="24"/>
        </w:rPr>
        <w:t>通过</w:t>
      </w:r>
      <w:r>
        <w:rPr>
          <w:rFonts w:hint="eastAsia"/>
          <w:kern w:val="0"/>
          <w:sz w:val="24"/>
        </w:rPr>
        <w:t>评价</w:t>
      </w:r>
      <w:r>
        <w:rPr>
          <w:rFonts w:hint="eastAsia"/>
          <w:kern w:val="0"/>
          <w:sz w:val="24"/>
          <w:lang w:eastAsia="zh-CN"/>
        </w:rPr>
        <w:t>石灰</w:t>
      </w:r>
      <w:r>
        <w:rPr>
          <w:rFonts w:hint="eastAsia"/>
          <w:kern w:val="0"/>
          <w:sz w:val="24"/>
        </w:rPr>
        <w:t>产品全生命周期的环境影响大小，提出绿色设计或生态化改进方案，</w:t>
      </w:r>
      <w:r>
        <w:rPr>
          <w:kern w:val="0"/>
          <w:sz w:val="24"/>
        </w:rPr>
        <w:t>从而可为提升和改善</w:t>
      </w:r>
      <w:r>
        <w:rPr>
          <w:rFonts w:hint="eastAsia"/>
          <w:kern w:val="0"/>
          <w:sz w:val="24"/>
          <w:lang w:eastAsia="zh-CN"/>
        </w:rPr>
        <w:t>石灰</w:t>
      </w:r>
      <w:r>
        <w:rPr>
          <w:rFonts w:hint="eastAsia"/>
          <w:kern w:val="0"/>
          <w:sz w:val="24"/>
        </w:rPr>
        <w:t>产品</w:t>
      </w:r>
      <w:r>
        <w:rPr>
          <w:kern w:val="0"/>
          <w:sz w:val="24"/>
        </w:rPr>
        <w:t>的</w:t>
      </w:r>
      <w:r>
        <w:rPr>
          <w:rFonts w:hint="eastAsia"/>
          <w:kern w:val="0"/>
          <w:sz w:val="24"/>
        </w:rPr>
        <w:t>绿色设计提供依据。使用对象为</w:t>
      </w:r>
      <w:r>
        <w:rPr>
          <w:rFonts w:hint="eastAsia"/>
          <w:kern w:val="0"/>
          <w:sz w:val="24"/>
          <w:lang w:eastAsia="zh-CN"/>
        </w:rPr>
        <w:t>石灰</w:t>
      </w:r>
      <w:r>
        <w:rPr>
          <w:rFonts w:hint="eastAsia"/>
          <w:kern w:val="0"/>
          <w:sz w:val="24"/>
        </w:rPr>
        <w:t>产品的生产商。</w:t>
      </w:r>
    </w:p>
    <w:p>
      <w:pPr>
        <w:spacing w:line="276" w:lineRule="auto"/>
        <w:ind w:firstLine="480" w:firstLineChars="200"/>
        <w:rPr>
          <w:kern w:val="0"/>
          <w:sz w:val="24"/>
        </w:rPr>
      </w:pPr>
      <w:r>
        <w:rPr>
          <w:rFonts w:hint="eastAsia"/>
          <w:kern w:val="0"/>
          <w:sz w:val="24"/>
        </w:rPr>
        <w:t>（2）范围</w:t>
      </w:r>
    </w:p>
    <w:p>
      <w:pPr>
        <w:spacing w:line="276" w:lineRule="auto"/>
        <w:ind w:firstLine="480" w:firstLineChars="200"/>
        <w:rPr>
          <w:kern w:val="0"/>
          <w:sz w:val="24"/>
        </w:rPr>
      </w:pPr>
      <w:r>
        <w:rPr>
          <w:rFonts w:hint="eastAsia"/>
          <w:kern w:val="0"/>
          <w:sz w:val="24"/>
        </w:rPr>
        <w:t>研究范围依据目的确定，需要分析的因素主要有：研究范围的修改及论证、功能、功能单位、系统边界、数据类型、输入输出初步选择准则、数据质量要求等。据此，本标准将功能单位定义为可测量的生产1吨（t）</w:t>
      </w:r>
      <w:r>
        <w:rPr>
          <w:rFonts w:hint="eastAsia"/>
          <w:kern w:val="0"/>
          <w:sz w:val="24"/>
          <w:lang w:eastAsia="zh-CN"/>
        </w:rPr>
        <w:t>石灰</w:t>
      </w:r>
      <w:r>
        <w:rPr>
          <w:rFonts w:hint="eastAsia"/>
          <w:kern w:val="0"/>
          <w:sz w:val="24"/>
        </w:rPr>
        <w:t>产品，来为输入和输出提供参照基准，以保证结果的可比性。</w:t>
      </w:r>
    </w:p>
    <w:p>
      <w:pPr>
        <w:spacing w:line="276" w:lineRule="auto"/>
        <w:ind w:firstLine="480" w:firstLineChars="200"/>
        <w:rPr>
          <w:kern w:val="0"/>
          <w:sz w:val="24"/>
        </w:rPr>
      </w:pPr>
      <w:r>
        <w:rPr>
          <w:rFonts w:hint="eastAsia"/>
          <w:kern w:val="0"/>
          <w:sz w:val="24"/>
        </w:rPr>
        <w:t>（3）系统边界</w:t>
      </w:r>
    </w:p>
    <w:p>
      <w:pPr>
        <w:spacing w:line="276" w:lineRule="auto"/>
        <w:ind w:firstLine="480" w:firstLineChars="200"/>
        <w:rPr>
          <w:kern w:val="0"/>
          <w:sz w:val="24"/>
        </w:rPr>
      </w:pPr>
      <w:r>
        <w:rPr>
          <w:rFonts w:hint="eastAsia"/>
          <w:kern w:val="0"/>
          <w:sz w:val="24"/>
        </w:rPr>
        <w:t>确定系统边界，即确定要纳入到模型化系统的单元过程。在理想情况下，建立产品系统的模型时，应使其边界上的输入和输出均为基本流。</w:t>
      </w:r>
      <w:r>
        <w:rPr>
          <w:rFonts w:hint="eastAsia"/>
          <w:kern w:val="0"/>
          <w:sz w:val="24"/>
          <w:lang w:eastAsia="zh-CN"/>
        </w:rPr>
        <w:t>石灰</w:t>
      </w:r>
      <w:r>
        <w:rPr>
          <w:rFonts w:hint="eastAsia"/>
          <w:kern w:val="0"/>
          <w:sz w:val="24"/>
        </w:rPr>
        <w:t>产品全生命周期可划分为原材料获取、能源获取、利废原料获取、运输、产品生产、产品使用以及生命末期等过程，其中各部分具体内容如下：</w:t>
      </w:r>
    </w:p>
    <w:p>
      <w:pPr>
        <w:pStyle w:val="56"/>
        <w:numPr>
          <w:ilvl w:val="0"/>
          <w:numId w:val="2"/>
        </w:numPr>
        <w:spacing w:line="276" w:lineRule="auto"/>
        <w:ind w:firstLineChars="0"/>
        <w:rPr>
          <w:kern w:val="0"/>
          <w:sz w:val="24"/>
        </w:rPr>
      </w:pPr>
      <w:r>
        <w:rPr>
          <w:kern w:val="0"/>
          <w:sz w:val="24"/>
        </w:rPr>
        <w:t>原材料获取：产品生产过程中消耗的主要原材料的开采及生产过程；</w:t>
      </w:r>
    </w:p>
    <w:p>
      <w:pPr>
        <w:pStyle w:val="56"/>
        <w:numPr>
          <w:ilvl w:val="0"/>
          <w:numId w:val="2"/>
        </w:numPr>
        <w:spacing w:line="276" w:lineRule="auto"/>
        <w:ind w:firstLineChars="0"/>
        <w:rPr>
          <w:kern w:val="0"/>
          <w:sz w:val="24"/>
        </w:rPr>
      </w:pPr>
      <w:r>
        <w:rPr>
          <w:kern w:val="0"/>
          <w:sz w:val="24"/>
        </w:rPr>
        <w:t>能源获取：所用焦炭、电力、汽油、燃料油等能源的开采及生产过程；</w:t>
      </w:r>
    </w:p>
    <w:p>
      <w:pPr>
        <w:pStyle w:val="56"/>
        <w:numPr>
          <w:ilvl w:val="0"/>
          <w:numId w:val="2"/>
        </w:numPr>
        <w:spacing w:line="276" w:lineRule="auto"/>
        <w:ind w:firstLineChars="0"/>
        <w:rPr>
          <w:kern w:val="0"/>
          <w:sz w:val="24"/>
        </w:rPr>
      </w:pPr>
      <w:r>
        <w:rPr>
          <w:kern w:val="0"/>
          <w:sz w:val="24"/>
        </w:rPr>
        <w:t>利废原料获取：如城市生活垃圾、危险废物、冶金行业的合金废渣、高炉废渣等的生产过程；</w:t>
      </w:r>
    </w:p>
    <w:p>
      <w:pPr>
        <w:pStyle w:val="56"/>
        <w:numPr>
          <w:ilvl w:val="0"/>
          <w:numId w:val="2"/>
        </w:numPr>
        <w:spacing w:line="276" w:lineRule="auto"/>
        <w:ind w:firstLineChars="0"/>
        <w:rPr>
          <w:kern w:val="0"/>
          <w:sz w:val="24"/>
        </w:rPr>
      </w:pPr>
      <w:r>
        <w:rPr>
          <w:kern w:val="0"/>
          <w:sz w:val="24"/>
        </w:rPr>
        <w:t>运输：主要原材料、能源及利废原料的运输过程；</w:t>
      </w:r>
    </w:p>
    <w:p>
      <w:pPr>
        <w:pStyle w:val="56"/>
        <w:numPr>
          <w:ilvl w:val="0"/>
          <w:numId w:val="2"/>
        </w:numPr>
        <w:spacing w:line="276" w:lineRule="auto"/>
        <w:ind w:firstLineChars="0"/>
        <w:rPr>
          <w:kern w:val="0"/>
          <w:sz w:val="24"/>
        </w:rPr>
      </w:pPr>
      <w:r>
        <w:rPr>
          <w:kern w:val="0"/>
          <w:sz w:val="24"/>
        </w:rPr>
        <w:t>产品生产：产品生产所涵盖的全部工序。</w:t>
      </w:r>
    </w:p>
    <w:p>
      <w:pPr>
        <w:pStyle w:val="56"/>
        <w:numPr>
          <w:ilvl w:val="0"/>
          <w:numId w:val="2"/>
        </w:numPr>
        <w:spacing w:line="276" w:lineRule="auto"/>
        <w:ind w:firstLineChars="0"/>
        <w:rPr>
          <w:kern w:val="0"/>
          <w:sz w:val="24"/>
        </w:rPr>
      </w:pPr>
      <w:r>
        <w:rPr>
          <w:kern w:val="0"/>
          <w:sz w:val="24"/>
        </w:rPr>
        <w:t>产品使用：产品出厂后的运输、使用与维护过程；</w:t>
      </w:r>
    </w:p>
    <w:p>
      <w:pPr>
        <w:pStyle w:val="56"/>
        <w:numPr>
          <w:ilvl w:val="0"/>
          <w:numId w:val="2"/>
        </w:numPr>
        <w:spacing w:line="276" w:lineRule="auto"/>
        <w:ind w:firstLineChars="0"/>
        <w:rPr>
          <w:kern w:val="0"/>
          <w:sz w:val="24"/>
        </w:rPr>
      </w:pPr>
      <w:r>
        <w:rPr>
          <w:rFonts w:hint="eastAsia"/>
          <w:kern w:val="0"/>
          <w:sz w:val="24"/>
        </w:rPr>
        <w:t>回收再利用</w:t>
      </w:r>
      <w:r>
        <w:rPr>
          <w:kern w:val="0"/>
          <w:sz w:val="24"/>
        </w:rPr>
        <w:t>：产品报废、回收、循环利用与最终处置过程。</w:t>
      </w:r>
    </w:p>
    <w:p>
      <w:pPr>
        <w:spacing w:line="276" w:lineRule="auto"/>
        <w:ind w:firstLine="480" w:firstLineChars="200"/>
        <w:rPr>
          <w:kern w:val="0"/>
          <w:sz w:val="24"/>
        </w:rPr>
      </w:pPr>
      <w:r>
        <w:rPr>
          <w:rFonts w:hint="eastAsia"/>
          <w:kern w:val="0"/>
          <w:sz w:val="24"/>
        </w:rPr>
        <w:t>由于</w:t>
      </w:r>
      <w:r>
        <w:rPr>
          <w:rFonts w:hint="eastAsia"/>
          <w:kern w:val="0"/>
          <w:sz w:val="24"/>
          <w:lang w:eastAsia="zh-CN"/>
        </w:rPr>
        <w:t>石灰</w:t>
      </w:r>
      <w:r>
        <w:rPr>
          <w:rFonts w:hint="eastAsia"/>
          <w:kern w:val="0"/>
          <w:sz w:val="24"/>
        </w:rPr>
        <w:t>产品是非终端消费品，其使用、废弃和回收过程的环境影响难以获取，故本标准界定的系统边界为“从摇篮到大门”的生命周期过程，即包括但不限于原材料、能源、利废原料的获取，运输、产品生产。</w:t>
      </w:r>
    </w:p>
    <w:p>
      <w:pPr>
        <w:spacing w:line="276" w:lineRule="auto"/>
        <w:ind w:firstLine="480" w:firstLineChars="200"/>
        <w:rPr>
          <w:kern w:val="0"/>
          <w:sz w:val="24"/>
        </w:rPr>
      </w:pPr>
      <w:r>
        <w:rPr>
          <w:rFonts w:hint="eastAsia"/>
          <w:kern w:val="0"/>
          <w:sz w:val="24"/>
        </w:rPr>
        <w:t>（4）数据质量要求</w:t>
      </w:r>
    </w:p>
    <w:p>
      <w:pPr>
        <w:spacing w:line="276" w:lineRule="auto"/>
        <w:ind w:firstLine="480" w:firstLineChars="200"/>
        <w:rPr>
          <w:kern w:val="0"/>
          <w:sz w:val="24"/>
        </w:rPr>
      </w:pPr>
      <w:r>
        <w:rPr>
          <w:rFonts w:hint="eastAsia"/>
          <w:kern w:val="0"/>
          <w:sz w:val="24"/>
        </w:rPr>
        <w:t>数据质量要求是生命周期评价可信度的保障。这里的数据是指在评估中用到的所有定性和定量的数值或信息，这些数据可能来自测量到的环境清单数据，也可以是中间的处理结果。针对数据采集过程中所涉及的物质（能量）数据设定了相应的取舍准则，如下所示：</w:t>
      </w:r>
    </w:p>
    <w:p>
      <w:pPr>
        <w:spacing w:line="276" w:lineRule="auto"/>
        <w:ind w:firstLine="480" w:firstLineChars="200"/>
        <w:rPr>
          <w:kern w:val="0"/>
          <w:sz w:val="24"/>
        </w:rPr>
      </w:pPr>
      <w:r>
        <w:rPr>
          <w:rFonts w:hint="eastAsia"/>
          <w:kern w:val="0"/>
          <w:sz w:val="24"/>
        </w:rPr>
        <w:t>a)</w:t>
      </w:r>
      <w:r>
        <w:rPr>
          <w:rFonts w:hint="eastAsia"/>
          <w:kern w:val="0"/>
          <w:sz w:val="24"/>
        </w:rPr>
        <w:tab/>
      </w:r>
      <w:r>
        <w:rPr>
          <w:rFonts w:hint="eastAsia"/>
          <w:kern w:val="0"/>
          <w:sz w:val="24"/>
        </w:rPr>
        <w:t>所有的能源输入均需列出，包括使用的含能废弃物；</w:t>
      </w:r>
    </w:p>
    <w:p>
      <w:pPr>
        <w:spacing w:line="276" w:lineRule="auto"/>
        <w:ind w:firstLine="480" w:firstLineChars="200"/>
        <w:rPr>
          <w:kern w:val="0"/>
          <w:sz w:val="24"/>
        </w:rPr>
      </w:pPr>
      <w:r>
        <w:rPr>
          <w:rFonts w:hint="eastAsia"/>
          <w:kern w:val="0"/>
          <w:sz w:val="24"/>
        </w:rPr>
        <w:t>b)</w:t>
      </w:r>
      <w:r>
        <w:rPr>
          <w:rFonts w:hint="eastAsia"/>
          <w:kern w:val="0"/>
          <w:sz w:val="24"/>
        </w:rPr>
        <w:tab/>
      </w:r>
      <w:r>
        <w:rPr>
          <w:rFonts w:hint="eastAsia"/>
          <w:kern w:val="0"/>
          <w:sz w:val="24"/>
        </w:rPr>
        <w:t>应列出主要的原材料及利废原料输入，符合准则可忽略；</w:t>
      </w:r>
    </w:p>
    <w:p>
      <w:pPr>
        <w:spacing w:line="276" w:lineRule="auto"/>
        <w:ind w:firstLine="480" w:firstLineChars="200"/>
        <w:rPr>
          <w:kern w:val="0"/>
          <w:sz w:val="24"/>
        </w:rPr>
      </w:pPr>
      <w:r>
        <w:rPr>
          <w:rFonts w:hint="eastAsia"/>
          <w:kern w:val="0"/>
          <w:sz w:val="24"/>
        </w:rPr>
        <w:t>c)</w:t>
      </w:r>
      <w:r>
        <w:rPr>
          <w:rFonts w:hint="eastAsia"/>
          <w:kern w:val="0"/>
          <w:sz w:val="24"/>
        </w:rPr>
        <w:tab/>
      </w:r>
      <w:r>
        <w:rPr>
          <w:rFonts w:hint="eastAsia"/>
          <w:kern w:val="0"/>
          <w:sz w:val="24"/>
        </w:rPr>
        <w:t>国家或地方相关标准规定的大气、水体、土壤的各种污染物和固体废弃物均需列出；</w:t>
      </w:r>
    </w:p>
    <w:p>
      <w:pPr>
        <w:spacing w:line="276" w:lineRule="auto"/>
        <w:ind w:firstLine="480" w:firstLineChars="200"/>
        <w:rPr>
          <w:kern w:val="0"/>
          <w:sz w:val="24"/>
        </w:rPr>
      </w:pPr>
      <w:r>
        <w:rPr>
          <w:rFonts w:hint="eastAsia"/>
          <w:kern w:val="0"/>
          <w:sz w:val="24"/>
        </w:rPr>
        <w:t>d)</w:t>
      </w:r>
      <w:r>
        <w:rPr>
          <w:rFonts w:hint="eastAsia"/>
          <w:kern w:val="0"/>
          <w:sz w:val="24"/>
        </w:rPr>
        <w:tab/>
      </w:r>
      <w:r>
        <w:rPr>
          <w:rFonts w:hint="eastAsia"/>
          <w:kern w:val="0"/>
          <w:sz w:val="24"/>
        </w:rPr>
        <w:t>任何有毒有害物质均不可忽略；</w:t>
      </w:r>
    </w:p>
    <w:p>
      <w:pPr>
        <w:spacing w:line="276" w:lineRule="auto"/>
        <w:ind w:firstLine="480" w:firstLineChars="200"/>
        <w:rPr>
          <w:kern w:val="0"/>
          <w:sz w:val="24"/>
        </w:rPr>
      </w:pPr>
      <w:r>
        <w:rPr>
          <w:rFonts w:hint="eastAsia"/>
          <w:kern w:val="0"/>
          <w:sz w:val="24"/>
        </w:rPr>
        <w:t>e)</w:t>
      </w:r>
      <w:r>
        <w:rPr>
          <w:rFonts w:hint="eastAsia"/>
          <w:kern w:val="0"/>
          <w:sz w:val="24"/>
        </w:rPr>
        <w:tab/>
      </w:r>
      <w:r>
        <w:rPr>
          <w:rFonts w:hint="eastAsia"/>
          <w:kern w:val="0"/>
          <w:sz w:val="24"/>
        </w:rPr>
        <w:t>忽略的单项物质（能量）流或单元过程对环境影响的贡献均不得超过1%；</w:t>
      </w:r>
    </w:p>
    <w:p>
      <w:pPr>
        <w:spacing w:line="276" w:lineRule="auto"/>
        <w:ind w:firstLine="480" w:firstLineChars="200"/>
        <w:rPr>
          <w:kern w:val="0"/>
          <w:sz w:val="24"/>
        </w:rPr>
      </w:pPr>
      <w:r>
        <w:rPr>
          <w:rFonts w:hint="eastAsia"/>
          <w:kern w:val="0"/>
          <w:sz w:val="24"/>
        </w:rPr>
        <w:t>f)</w:t>
      </w:r>
      <w:r>
        <w:rPr>
          <w:rFonts w:hint="eastAsia"/>
          <w:kern w:val="0"/>
          <w:sz w:val="24"/>
        </w:rPr>
        <w:tab/>
      </w:r>
      <w:r>
        <w:rPr>
          <w:rFonts w:hint="eastAsia"/>
          <w:kern w:val="0"/>
          <w:sz w:val="24"/>
        </w:rPr>
        <w:t>所有忽略的物质（能量）流与单元过程对环境影响贡献总和不超过5%，且应予以说明。</w:t>
      </w:r>
    </w:p>
    <w:p>
      <w:pPr>
        <w:pStyle w:val="47"/>
        <w:spacing w:line="276" w:lineRule="auto"/>
        <w:rPr>
          <w:rFonts w:ascii="Times New Roman"/>
          <w:sz w:val="28"/>
          <w:szCs w:val="36"/>
        </w:rPr>
      </w:pPr>
      <w:r>
        <w:rPr>
          <w:rFonts w:hint="eastAsia" w:ascii="Times New Roman" w:hAnsi="Times New Roman" w:cs="Times New Roman"/>
          <w:sz w:val="28"/>
          <w:szCs w:val="36"/>
        </w:rPr>
        <w:t>3.2.</w:t>
      </w:r>
      <w:r>
        <w:rPr>
          <w:rFonts w:ascii="Times New Roman" w:hAnsi="Times New Roman" w:cs="Times New Roman"/>
          <w:sz w:val="28"/>
          <w:szCs w:val="36"/>
        </w:rPr>
        <w:t>8</w:t>
      </w:r>
      <w:r>
        <w:rPr>
          <w:rFonts w:hint="eastAsia" w:ascii="Times New Roman" w:hAnsi="Times New Roman" w:cs="Times New Roman"/>
          <w:sz w:val="28"/>
          <w:szCs w:val="36"/>
        </w:rPr>
        <w:t>.2</w:t>
      </w:r>
      <w:r>
        <w:rPr>
          <w:rFonts w:ascii="Times New Roman"/>
          <w:sz w:val="28"/>
          <w:szCs w:val="36"/>
        </w:rPr>
        <w:t>生命周期清单分析</w:t>
      </w:r>
    </w:p>
    <w:p>
      <w:pPr>
        <w:spacing w:line="276" w:lineRule="auto"/>
        <w:ind w:firstLine="480" w:firstLineChars="200"/>
        <w:rPr>
          <w:kern w:val="0"/>
          <w:sz w:val="24"/>
        </w:rPr>
      </w:pPr>
      <w:r>
        <w:rPr>
          <w:rFonts w:hint="eastAsia"/>
          <w:kern w:val="0"/>
          <w:sz w:val="24"/>
        </w:rPr>
        <w:t>生命周期清单分析（Life Cycle Inventroy, LCI）是生命周期评价过程的第二步，涉及到数据的收集和计算程序。是对产品、工艺流程、活动等研究系统整个生命周期阶段的资源和能源使用以及向环境（如：空气、水、土壤）排放的废弃物进行定性、定量的分析过程。目的是对产品系统的有关输入和输出进行量化。根据预先确定的研究目的和范围需要来确定。</w:t>
      </w:r>
      <w:r>
        <w:rPr>
          <w:kern w:val="0"/>
          <w:sz w:val="24"/>
        </w:rPr>
        <w:t xml:space="preserve"> </w:t>
      </w:r>
    </w:p>
    <w:p>
      <w:pPr>
        <w:spacing w:line="276" w:lineRule="auto"/>
        <w:ind w:firstLine="480" w:firstLineChars="200"/>
        <w:rPr>
          <w:kern w:val="0"/>
          <w:sz w:val="24"/>
        </w:rPr>
      </w:pPr>
      <w:r>
        <w:rPr>
          <w:rFonts w:hint="eastAsia"/>
          <w:kern w:val="0"/>
          <w:sz w:val="24"/>
        </w:rPr>
        <w:t>（1）数据采集</w:t>
      </w:r>
    </w:p>
    <w:p>
      <w:pPr>
        <w:spacing w:line="276" w:lineRule="auto"/>
        <w:ind w:firstLine="480" w:firstLineChars="200"/>
        <w:rPr>
          <w:kern w:val="0"/>
          <w:sz w:val="24"/>
        </w:rPr>
      </w:pPr>
      <w:r>
        <w:rPr>
          <w:rFonts w:hint="eastAsia"/>
          <w:kern w:val="0"/>
          <w:sz w:val="24"/>
        </w:rPr>
        <w:t>数据采集类型包括输入和输出，其中输入包括能量输入、原材料输入，辅助性输入，其他物理输入；输出报告产品以及大气污染物、水体污染物、固体废弃物以及其他环境因素。同时数据按照来源可以分为现场数据和背景数据。标准的附录C和附录</w:t>
      </w:r>
      <w:r>
        <w:rPr>
          <w:kern w:val="0"/>
          <w:sz w:val="24"/>
        </w:rPr>
        <w:t>D</w:t>
      </w:r>
      <w:r>
        <w:rPr>
          <w:rFonts w:hint="eastAsia"/>
          <w:kern w:val="0"/>
          <w:sz w:val="24"/>
        </w:rPr>
        <w:t>提供了数据采集格式，其中现场采集数据按附录C中表C.1格式采集，背景数据按附录D中表D.1格式采集，对数据的获得方式和来源均应予以说明。在采集过程中，应对缺失的数据进行合理填补，并说明数据填补方法。</w:t>
      </w:r>
    </w:p>
    <w:p>
      <w:pPr>
        <w:spacing w:line="276" w:lineRule="auto"/>
        <w:ind w:firstLine="480" w:firstLineChars="200"/>
        <w:rPr>
          <w:kern w:val="0"/>
          <w:sz w:val="24"/>
        </w:rPr>
      </w:pPr>
      <w:r>
        <w:rPr>
          <w:rFonts w:hint="eastAsia"/>
          <w:kern w:val="0"/>
          <w:sz w:val="24"/>
        </w:rPr>
        <w:t>为了保证计算结果可信度，标准对于数据采集质量作出要求，现场数据采集质量应满足完整性、准确性和一致性；背景数据采集质量应满足代表性、完整性和一致性。</w:t>
      </w:r>
    </w:p>
    <w:p>
      <w:pPr>
        <w:spacing w:line="276" w:lineRule="auto"/>
        <w:ind w:firstLine="480" w:firstLineChars="200"/>
        <w:rPr>
          <w:kern w:val="0"/>
          <w:sz w:val="24"/>
        </w:rPr>
      </w:pPr>
      <w:r>
        <w:rPr>
          <w:rFonts w:hint="eastAsia"/>
          <w:kern w:val="0"/>
          <w:sz w:val="24"/>
        </w:rPr>
        <w:t>采集过程中，应验证数据的有效性，通过物料平衡、能量平衡、与历史数据和相近工艺数据对比等方式，确认数据的准确性与合理性。对于异常数据，应分析原因，予以替换，替换的数据应满足数据质量要求。</w:t>
      </w:r>
    </w:p>
    <w:p>
      <w:pPr>
        <w:spacing w:line="276" w:lineRule="auto"/>
        <w:ind w:firstLine="480" w:firstLineChars="200"/>
        <w:rPr>
          <w:kern w:val="0"/>
          <w:sz w:val="24"/>
        </w:rPr>
      </w:pPr>
      <w:r>
        <w:rPr>
          <w:rFonts w:hint="eastAsia"/>
          <w:kern w:val="0"/>
          <w:sz w:val="24"/>
        </w:rPr>
        <w:t>（2）数据计算</w:t>
      </w:r>
    </w:p>
    <w:p>
      <w:pPr>
        <w:spacing w:line="276" w:lineRule="auto"/>
        <w:ind w:firstLine="480" w:firstLineChars="200"/>
        <w:rPr>
          <w:kern w:val="0"/>
          <w:sz w:val="24"/>
        </w:rPr>
      </w:pPr>
      <w:r>
        <w:rPr>
          <w:rFonts w:hint="eastAsia"/>
          <w:kern w:val="0"/>
          <w:sz w:val="24"/>
        </w:rPr>
        <w:t>在数据收集与确认完成后，需要根据计算程序对</w:t>
      </w:r>
      <w:r>
        <w:rPr>
          <w:rFonts w:hint="eastAsia"/>
          <w:kern w:val="0"/>
          <w:sz w:val="24"/>
          <w:lang w:eastAsia="zh-CN"/>
        </w:rPr>
        <w:t>石灰</w:t>
      </w:r>
      <w:r>
        <w:rPr>
          <w:rFonts w:hint="eastAsia"/>
          <w:kern w:val="0"/>
          <w:sz w:val="24"/>
        </w:rPr>
        <w:t>产品系统中每一个单元过程和功能单位求得清单结果。生命周期评价中的清单分析计算程序在确认数据后还需将数据与单元过程、功能单位分别相关联，同时根据流程图和系统边界可以将各单元过程相互关联，从而对整个系统进行计算，即数据合并。这一计算是以统一的功能单位作为该系统所有单元过程中物流、能量流的共同基础，求得系统中所有的输入和输出数据，形成产品生命周期清单，可参见附录</w:t>
      </w:r>
      <w:r>
        <w:rPr>
          <w:kern w:val="0"/>
          <w:sz w:val="24"/>
        </w:rPr>
        <w:t>E</w:t>
      </w:r>
      <w:r>
        <w:rPr>
          <w:rFonts w:hint="eastAsia"/>
          <w:kern w:val="0"/>
          <w:sz w:val="24"/>
        </w:rPr>
        <w:t>。</w:t>
      </w:r>
    </w:p>
    <w:p>
      <w:pPr>
        <w:spacing w:line="276" w:lineRule="auto"/>
        <w:ind w:firstLine="480" w:firstLineChars="200"/>
        <w:rPr>
          <w:kern w:val="0"/>
          <w:sz w:val="24"/>
        </w:rPr>
      </w:pPr>
      <w:r>
        <w:rPr>
          <w:rFonts w:hint="eastAsia"/>
          <w:kern w:val="0"/>
          <w:sz w:val="24"/>
        </w:rPr>
        <w:t>（3）分配</w:t>
      </w:r>
    </w:p>
    <w:p>
      <w:pPr>
        <w:spacing w:line="276" w:lineRule="auto"/>
        <w:ind w:firstLine="480" w:firstLineChars="200"/>
        <w:rPr>
          <w:kern w:val="0"/>
          <w:sz w:val="24"/>
        </w:rPr>
      </w:pPr>
      <w:r>
        <w:rPr>
          <w:rFonts w:hint="eastAsia"/>
          <w:kern w:val="0"/>
          <w:sz w:val="24"/>
        </w:rPr>
        <w:t>大部分工业过程都是产出多种产品，并将中间产品和弃置的产品通过再循环用作原材料。当环境负荷要用其中一种或部分产品来表征时，就产生了输入输出数据如何在多个产品或多个系统之间分配的问题。将过程或产品系统中的输入和输出流划分到所研究的产品系统以及一个或更多的其他产品系统中，GB/T 24040《环境管理 生命周期评价 原则与框架》将其定义为分配（allocation）。因此，必须根据既定的方案将物流、能量流和环境排放分配到各个产品。</w:t>
      </w:r>
    </w:p>
    <w:p>
      <w:pPr>
        <w:spacing w:line="276" w:lineRule="auto"/>
        <w:ind w:firstLine="480" w:firstLineChars="200"/>
        <w:rPr>
          <w:kern w:val="0"/>
          <w:sz w:val="24"/>
        </w:rPr>
      </w:pPr>
      <w:r>
        <w:rPr>
          <w:rFonts w:hint="eastAsia"/>
          <w:kern w:val="0"/>
          <w:sz w:val="24"/>
        </w:rPr>
        <w:t>本标准中同一企业生产</w:t>
      </w:r>
      <w:r>
        <w:rPr>
          <w:rFonts w:hint="eastAsia"/>
          <w:kern w:val="0"/>
          <w:sz w:val="24"/>
          <w:lang w:eastAsia="zh-CN"/>
        </w:rPr>
        <w:t>的</w:t>
      </w:r>
      <w:r>
        <w:rPr>
          <w:rFonts w:hint="eastAsia"/>
          <w:kern w:val="0"/>
          <w:sz w:val="24"/>
        </w:rPr>
        <w:t>多种</w:t>
      </w:r>
      <w:r>
        <w:rPr>
          <w:rFonts w:hint="eastAsia"/>
          <w:kern w:val="0"/>
          <w:sz w:val="24"/>
          <w:lang w:eastAsia="zh-CN"/>
        </w:rPr>
        <w:t>石灰</w:t>
      </w:r>
      <w:r>
        <w:rPr>
          <w:rFonts w:hint="eastAsia"/>
          <w:kern w:val="0"/>
          <w:sz w:val="24"/>
        </w:rPr>
        <w:t>产品互为共生产品，而对于涉及的共生产品清单分配方法应在生命周期评价报告中予以明确说明。</w:t>
      </w:r>
      <w:r>
        <w:rPr>
          <w:rFonts w:hint="eastAsia"/>
          <w:kern w:val="0"/>
          <w:sz w:val="24"/>
          <w:lang w:eastAsia="zh-CN"/>
        </w:rPr>
        <w:t>石灰</w:t>
      </w:r>
      <w:r>
        <w:rPr>
          <w:rFonts w:hint="eastAsia"/>
          <w:kern w:val="0"/>
          <w:sz w:val="24"/>
        </w:rPr>
        <w:t>产品优先采用质量分配法。</w:t>
      </w:r>
    </w:p>
    <w:p>
      <w:pPr>
        <w:pStyle w:val="47"/>
        <w:spacing w:line="276" w:lineRule="auto"/>
        <w:rPr>
          <w:rFonts w:ascii="Times New Roman"/>
          <w:sz w:val="28"/>
          <w:szCs w:val="36"/>
        </w:rPr>
      </w:pPr>
      <w:r>
        <w:rPr>
          <w:rFonts w:hint="eastAsia" w:ascii="Times New Roman" w:hAnsi="Times New Roman" w:cs="Times New Roman"/>
          <w:sz w:val="28"/>
          <w:szCs w:val="36"/>
        </w:rPr>
        <w:t>3.2.</w:t>
      </w:r>
      <w:r>
        <w:rPr>
          <w:rFonts w:ascii="Times New Roman" w:hAnsi="Times New Roman" w:cs="Times New Roman"/>
          <w:sz w:val="28"/>
          <w:szCs w:val="36"/>
        </w:rPr>
        <w:t>8</w:t>
      </w:r>
      <w:r>
        <w:rPr>
          <w:rFonts w:hint="eastAsia" w:ascii="Times New Roman" w:hAnsi="Times New Roman" w:cs="Times New Roman"/>
          <w:sz w:val="28"/>
          <w:szCs w:val="36"/>
        </w:rPr>
        <w:t>.3</w:t>
      </w:r>
      <w:r>
        <w:rPr>
          <w:rFonts w:ascii="Times New Roman"/>
          <w:sz w:val="28"/>
          <w:szCs w:val="36"/>
        </w:rPr>
        <w:t>生命周期影响评价</w:t>
      </w:r>
    </w:p>
    <w:p>
      <w:pPr>
        <w:spacing w:line="276" w:lineRule="auto"/>
        <w:ind w:firstLine="480" w:firstLineChars="200"/>
        <w:rPr>
          <w:sz w:val="24"/>
          <w:szCs w:val="32"/>
        </w:rPr>
      </w:pPr>
      <w:r>
        <w:rPr>
          <w:rFonts w:hint="eastAsia"/>
          <w:kern w:val="0"/>
          <w:sz w:val="24"/>
        </w:rPr>
        <w:t>依据</w:t>
      </w:r>
      <w:r>
        <w:rPr>
          <w:rFonts w:hint="eastAsia"/>
          <w:sz w:val="24"/>
          <w:szCs w:val="32"/>
        </w:rPr>
        <w:t>G</w:t>
      </w:r>
      <w:r>
        <w:rPr>
          <w:sz w:val="24"/>
          <w:szCs w:val="32"/>
        </w:rPr>
        <w:t xml:space="preserve">B/T </w:t>
      </w:r>
      <w:r>
        <w:rPr>
          <w:rFonts w:hint="eastAsia"/>
          <w:sz w:val="24"/>
          <w:szCs w:val="32"/>
        </w:rPr>
        <w:t>32161-2015《生态设计产品评价通则》要求，本章包括</w:t>
      </w:r>
      <w:r>
        <w:rPr>
          <w:sz w:val="24"/>
          <w:szCs w:val="32"/>
        </w:rPr>
        <w:t>影响类型</w:t>
      </w:r>
      <w:r>
        <w:rPr>
          <w:rFonts w:hint="eastAsia"/>
          <w:sz w:val="24"/>
          <w:szCs w:val="32"/>
        </w:rPr>
        <w:t>确定、</w:t>
      </w:r>
      <w:r>
        <w:rPr>
          <w:sz w:val="24"/>
          <w:szCs w:val="32"/>
        </w:rPr>
        <w:t>清单因子归类</w:t>
      </w:r>
      <w:r>
        <w:rPr>
          <w:rFonts w:hint="eastAsia"/>
          <w:sz w:val="24"/>
          <w:szCs w:val="32"/>
        </w:rPr>
        <w:t>、分类评价以及计算方法。</w:t>
      </w:r>
    </w:p>
    <w:p>
      <w:pPr>
        <w:spacing w:line="276" w:lineRule="auto"/>
        <w:ind w:firstLine="480" w:firstLineChars="200"/>
        <w:rPr>
          <w:sz w:val="24"/>
          <w:szCs w:val="32"/>
        </w:rPr>
      </w:pPr>
      <w:r>
        <w:rPr>
          <w:rFonts w:hint="eastAsia"/>
          <w:sz w:val="24"/>
          <w:szCs w:val="32"/>
        </w:rPr>
        <w:t>（1）影响类型确定</w:t>
      </w:r>
    </w:p>
    <w:p>
      <w:pPr>
        <w:spacing w:line="276" w:lineRule="auto"/>
        <w:ind w:firstLine="480" w:firstLineChars="200"/>
        <w:rPr>
          <w:sz w:val="24"/>
          <w:szCs w:val="32"/>
        </w:rPr>
      </w:pPr>
      <w:r>
        <w:rPr>
          <w:rFonts w:hint="eastAsia"/>
          <w:sz w:val="24"/>
          <w:szCs w:val="32"/>
        </w:rPr>
        <w:t>本标准编制过程中，标准起草组对多家</w:t>
      </w:r>
      <w:r>
        <w:rPr>
          <w:rFonts w:hint="eastAsia"/>
          <w:sz w:val="24"/>
          <w:szCs w:val="32"/>
          <w:lang w:eastAsia="zh-CN"/>
        </w:rPr>
        <w:t>石灰</w:t>
      </w:r>
      <w:r>
        <w:rPr>
          <w:rFonts w:hint="eastAsia"/>
          <w:sz w:val="24"/>
          <w:szCs w:val="32"/>
        </w:rPr>
        <w:t>生产企业进行了调研，收集了新型干法</w:t>
      </w:r>
      <w:r>
        <w:rPr>
          <w:rFonts w:hint="eastAsia"/>
          <w:sz w:val="24"/>
          <w:szCs w:val="32"/>
          <w:lang w:eastAsia="zh-CN"/>
        </w:rPr>
        <w:t>石灰</w:t>
      </w:r>
      <w:r>
        <w:rPr>
          <w:rFonts w:hint="eastAsia"/>
          <w:sz w:val="24"/>
          <w:szCs w:val="32"/>
        </w:rPr>
        <w:t>生产过程的现场数据和背景数据，使用ReCiPe评价方法（该方法为评价产品全生命周期环境影响的国际主流方法之一）进行过程贡献、环境影响贡献以及物质贡献分析见表3-4，辨识了</w:t>
      </w:r>
      <w:r>
        <w:rPr>
          <w:rFonts w:hint="eastAsia"/>
          <w:sz w:val="24"/>
          <w:szCs w:val="32"/>
          <w:lang w:eastAsia="zh-CN"/>
        </w:rPr>
        <w:t>石灰</w:t>
      </w:r>
      <w:r>
        <w:rPr>
          <w:rFonts w:hint="eastAsia"/>
          <w:sz w:val="24"/>
          <w:szCs w:val="32"/>
        </w:rPr>
        <w:t>产品的关键影响类型、单元过程以及输入输出物质。</w:t>
      </w:r>
    </w:p>
    <w:p>
      <w:pPr>
        <w:spacing w:line="276" w:lineRule="auto"/>
        <w:ind w:firstLine="480" w:firstLineChars="200"/>
        <w:rPr>
          <w:sz w:val="24"/>
          <w:szCs w:val="32"/>
        </w:rPr>
      </w:pPr>
      <w:r>
        <w:rPr>
          <w:rFonts w:hint="eastAsia"/>
          <w:sz w:val="24"/>
          <w:szCs w:val="32"/>
        </w:rPr>
        <w:t>据此选取气候变化（climate change）、化石能源稀缺（Fossil resource scarcity）、矿物资源稀缺（Mineral resource scarcity）、颗粒物形成（fine particulate matter formation）、陆地生态系统酸化（terrestrial acidification）等贡献率大于万分之一的环境影响类型作为必要的环境影响类型，在依据本标准对</w:t>
      </w:r>
      <w:r>
        <w:rPr>
          <w:rFonts w:hint="eastAsia"/>
          <w:sz w:val="24"/>
          <w:szCs w:val="32"/>
          <w:lang w:eastAsia="zh-CN"/>
        </w:rPr>
        <w:t>石灰</w:t>
      </w:r>
      <w:r>
        <w:rPr>
          <w:rFonts w:hint="eastAsia"/>
          <w:sz w:val="24"/>
          <w:szCs w:val="32"/>
        </w:rPr>
        <w:t>产品进行生命周期评价时必须包括相关数据。</w:t>
      </w:r>
    </w:p>
    <w:p>
      <w:pPr>
        <w:spacing w:line="276" w:lineRule="auto"/>
        <w:ind w:firstLine="480" w:firstLineChars="200"/>
        <w:rPr>
          <w:sz w:val="24"/>
          <w:szCs w:val="32"/>
        </w:rPr>
      </w:pPr>
      <w:r>
        <w:rPr>
          <w:rFonts w:hint="eastAsia"/>
          <w:sz w:val="24"/>
          <w:szCs w:val="32"/>
        </w:rPr>
        <w:t>矿物资源稀缺的贡献率虽然占总影响比例不足万分之一，但作为衡量矿产资源消耗的重要指标，对环境影响较大，故也将其确定为必要的环境影响类型。</w:t>
      </w:r>
    </w:p>
    <w:p>
      <w:pPr>
        <w:spacing w:line="276" w:lineRule="auto"/>
        <w:ind w:firstLine="480" w:firstLineChars="200"/>
        <w:rPr>
          <w:sz w:val="24"/>
          <w:szCs w:val="32"/>
        </w:rPr>
      </w:pPr>
      <w:r>
        <w:rPr>
          <w:rFonts w:hint="eastAsia"/>
          <w:sz w:val="24"/>
          <w:szCs w:val="32"/>
        </w:rPr>
        <w:t>“人体毒性”和“土地使用”这两种环境影响类型的贡献率虽然大于万分之一，但国内外对该环境影响类型的研究较少，难以获取相关数据，因此本标准将其作为推荐的环境影响类型。此外，本标准将陆地生态系统毒性、富营养化、光化学烟雾、臭氧层破坏、辐射、淡水生态系统毒性和海洋生态系统毒性等7类贡献率小于万分之一的环境影响类型作为推荐的环境影响类型，建议进行生命周期评价时包括相关数据。</w:t>
      </w:r>
    </w:p>
    <w:p>
      <w:pPr>
        <w:spacing w:line="276" w:lineRule="auto"/>
        <w:ind w:firstLine="480" w:firstLineChars="200"/>
        <w:rPr>
          <w:sz w:val="24"/>
          <w:szCs w:val="32"/>
        </w:rPr>
      </w:pPr>
      <w:r>
        <w:rPr>
          <w:rFonts w:hint="eastAsia"/>
          <w:sz w:val="24"/>
          <w:szCs w:val="32"/>
        </w:rPr>
        <w:t>（2）清单因子归类</w:t>
      </w:r>
    </w:p>
    <w:p>
      <w:pPr>
        <w:spacing w:line="276" w:lineRule="auto"/>
        <w:ind w:firstLine="480" w:firstLineChars="200"/>
        <w:rPr>
          <w:sz w:val="24"/>
          <w:szCs w:val="32"/>
        </w:rPr>
      </w:pPr>
      <w:r>
        <w:rPr>
          <w:rFonts w:hint="eastAsia"/>
          <w:sz w:val="24"/>
          <w:szCs w:val="32"/>
        </w:rPr>
        <w:t>根据清单因子的物理化学性质，将对某影响类型有贡献的因子归到一起。根据</w:t>
      </w:r>
      <w:r>
        <w:rPr>
          <w:rFonts w:hint="eastAsia"/>
          <w:sz w:val="24"/>
          <w:szCs w:val="32"/>
          <w:lang w:eastAsia="zh-CN"/>
        </w:rPr>
        <w:t>石灰</w:t>
      </w:r>
      <w:r>
        <w:rPr>
          <w:rFonts w:hint="eastAsia"/>
          <w:sz w:val="24"/>
          <w:szCs w:val="32"/>
        </w:rPr>
        <w:t>产品生产过程中直接相关的输入输出物质归类，结果如表3-5所示。</w:t>
      </w:r>
      <w:r>
        <w:rPr>
          <w:rFonts w:hint="eastAsia"/>
          <w:kern w:val="0"/>
          <w:sz w:val="24"/>
        </w:rPr>
        <w:t>本表仅提供了</w:t>
      </w:r>
      <w:r>
        <w:rPr>
          <w:rFonts w:hint="eastAsia"/>
          <w:kern w:val="0"/>
          <w:sz w:val="24"/>
          <w:lang w:eastAsia="zh-CN"/>
        </w:rPr>
        <w:t>石灰</w:t>
      </w:r>
      <w:r>
        <w:rPr>
          <w:rFonts w:hint="eastAsia"/>
          <w:kern w:val="0"/>
          <w:sz w:val="24"/>
        </w:rPr>
        <w:t>产品生产过程的数据即部分现场数据，未将背景数据中有贡献的因子进行归类，仅为了便于企业进行自评价。</w:t>
      </w:r>
    </w:p>
    <w:p>
      <w:pPr>
        <w:spacing w:line="276" w:lineRule="auto"/>
        <w:jc w:val="center"/>
        <w:rPr>
          <w:sz w:val="24"/>
          <w:szCs w:val="32"/>
        </w:rPr>
      </w:pPr>
      <w:r>
        <w:rPr>
          <w:rFonts w:hint="eastAsia"/>
          <w:sz w:val="24"/>
          <w:szCs w:val="32"/>
        </w:rPr>
        <w:t xml:space="preserve">表3-5  </w:t>
      </w:r>
      <w:r>
        <w:rPr>
          <w:rFonts w:hint="eastAsia"/>
          <w:sz w:val="24"/>
          <w:szCs w:val="32"/>
          <w:lang w:eastAsia="zh-CN"/>
        </w:rPr>
        <w:t>石灰</w:t>
      </w:r>
      <w:r>
        <w:rPr>
          <w:rFonts w:hint="eastAsia"/>
          <w:sz w:val="24"/>
          <w:szCs w:val="32"/>
        </w:rPr>
        <w:t>产品生命周期清单因子分类</w:t>
      </w:r>
    </w:p>
    <w:tbl>
      <w:tblPr>
        <w:tblStyle w:val="28"/>
        <w:tblW w:w="751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678"/>
        <w:gridCol w:w="283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678" w:type="dxa"/>
            <w:vAlign w:val="center"/>
          </w:tcPr>
          <w:p>
            <w:pPr>
              <w:pStyle w:val="36"/>
              <w:spacing w:line="276" w:lineRule="auto"/>
              <w:ind w:firstLine="0" w:firstLineChars="0"/>
              <w:jc w:val="center"/>
              <w:rPr>
                <w:rFonts w:ascii="Times New Roman"/>
                <w:szCs w:val="21"/>
              </w:rPr>
            </w:pPr>
            <w:r>
              <w:rPr>
                <w:rFonts w:hint="eastAsia" w:ascii="Times New Roman"/>
                <w:szCs w:val="21"/>
              </w:rPr>
              <w:t>影响类型</w:t>
            </w:r>
          </w:p>
        </w:tc>
        <w:tc>
          <w:tcPr>
            <w:tcW w:w="2835" w:type="dxa"/>
            <w:vAlign w:val="center"/>
          </w:tcPr>
          <w:p>
            <w:pPr>
              <w:pStyle w:val="36"/>
              <w:spacing w:line="276" w:lineRule="auto"/>
              <w:ind w:firstLine="0" w:firstLineChars="0"/>
              <w:jc w:val="center"/>
              <w:rPr>
                <w:rFonts w:ascii="Times New Roman"/>
                <w:szCs w:val="21"/>
              </w:rPr>
            </w:pPr>
            <w:r>
              <w:rPr>
                <w:rFonts w:hint="eastAsia" w:ascii="Times New Roman"/>
                <w:szCs w:val="21"/>
              </w:rPr>
              <w:t>清单因子归类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678" w:type="dxa"/>
            <w:vAlign w:val="center"/>
          </w:tcPr>
          <w:p>
            <w:pPr>
              <w:pStyle w:val="36"/>
              <w:spacing w:line="276" w:lineRule="auto"/>
              <w:ind w:firstLine="0" w:firstLineChars="0"/>
              <w:jc w:val="center"/>
              <w:rPr>
                <w:rFonts w:ascii="Times New Roman"/>
                <w:szCs w:val="21"/>
              </w:rPr>
            </w:pPr>
            <w:r>
              <w:rPr>
                <w:rFonts w:hint="eastAsia" w:ascii="Times New Roman"/>
                <w:szCs w:val="21"/>
              </w:rPr>
              <w:t>气候变化（cl</w:t>
            </w:r>
            <w:r>
              <w:rPr>
                <w:rFonts w:ascii="Times New Roman"/>
                <w:szCs w:val="21"/>
              </w:rPr>
              <w:t>imate change</w:t>
            </w:r>
            <w:r>
              <w:rPr>
                <w:rFonts w:hint="eastAsia" w:ascii="Times New Roman"/>
                <w:szCs w:val="21"/>
              </w:rPr>
              <w:t>）</w:t>
            </w:r>
          </w:p>
        </w:tc>
        <w:tc>
          <w:tcPr>
            <w:tcW w:w="2835" w:type="dxa"/>
            <w:vAlign w:val="center"/>
          </w:tcPr>
          <w:p>
            <w:pPr>
              <w:pStyle w:val="36"/>
              <w:spacing w:line="276" w:lineRule="auto"/>
              <w:ind w:firstLine="0" w:firstLineChars="0"/>
              <w:jc w:val="center"/>
              <w:rPr>
                <w:rFonts w:ascii="Times New Roman"/>
                <w:szCs w:val="21"/>
              </w:rPr>
            </w:pPr>
            <w:r>
              <w:rPr>
                <w:rFonts w:ascii="Times New Roman"/>
                <w:szCs w:val="21"/>
              </w:rPr>
              <w:t>CO</w:t>
            </w:r>
            <w:r>
              <w:rPr>
                <w:rFonts w:ascii="Times New Roman"/>
                <w:szCs w:val="21"/>
                <w:vertAlign w:val="subscript"/>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678" w:type="dxa"/>
            <w:vAlign w:val="center"/>
          </w:tcPr>
          <w:p>
            <w:pPr>
              <w:pStyle w:val="36"/>
              <w:spacing w:line="276" w:lineRule="auto"/>
              <w:ind w:firstLine="0" w:firstLineChars="0"/>
              <w:jc w:val="center"/>
              <w:rPr>
                <w:rFonts w:ascii="Times New Roman"/>
                <w:szCs w:val="21"/>
              </w:rPr>
            </w:pPr>
            <w:r>
              <w:rPr>
                <w:rFonts w:hint="eastAsia" w:ascii="Times New Roman"/>
                <w:szCs w:val="21"/>
              </w:rPr>
              <w:t>化石能源稀缺（</w:t>
            </w:r>
            <w:r>
              <w:rPr>
                <w:rFonts w:ascii="Times New Roman"/>
                <w:szCs w:val="21"/>
              </w:rPr>
              <w:t>Fossil resource scarcity</w:t>
            </w:r>
            <w:r>
              <w:rPr>
                <w:rFonts w:hint="eastAsia" w:ascii="Times New Roman"/>
                <w:szCs w:val="21"/>
              </w:rPr>
              <w:t>）</w:t>
            </w:r>
          </w:p>
        </w:tc>
        <w:tc>
          <w:tcPr>
            <w:tcW w:w="2835" w:type="dxa"/>
            <w:vAlign w:val="center"/>
          </w:tcPr>
          <w:p>
            <w:pPr>
              <w:pStyle w:val="36"/>
              <w:spacing w:line="276" w:lineRule="auto"/>
              <w:ind w:firstLine="0" w:firstLineChars="0"/>
              <w:jc w:val="center"/>
              <w:rPr>
                <w:rFonts w:ascii="Times New Roman"/>
                <w:szCs w:val="21"/>
              </w:rPr>
            </w:pPr>
            <w:r>
              <w:rPr>
                <w:rFonts w:hint="eastAsia" w:ascii="Times New Roman"/>
                <w:szCs w:val="21"/>
              </w:rPr>
              <w:t>原煤、原油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4678" w:type="dxa"/>
            <w:vAlign w:val="center"/>
          </w:tcPr>
          <w:p>
            <w:pPr>
              <w:pStyle w:val="36"/>
              <w:spacing w:line="276" w:lineRule="auto"/>
              <w:ind w:firstLine="0" w:firstLineChars="0"/>
              <w:jc w:val="center"/>
              <w:rPr>
                <w:rFonts w:ascii="Times New Roman"/>
                <w:szCs w:val="21"/>
              </w:rPr>
            </w:pPr>
            <w:r>
              <w:rPr>
                <w:rFonts w:hint="eastAsia" w:ascii="Times New Roman"/>
                <w:szCs w:val="21"/>
              </w:rPr>
              <w:t>矿物资源稀缺（</w:t>
            </w:r>
            <w:r>
              <w:rPr>
                <w:rFonts w:ascii="Times New Roman"/>
                <w:szCs w:val="21"/>
              </w:rPr>
              <w:t>Mineral resource scarcity</w:t>
            </w:r>
            <w:r>
              <w:rPr>
                <w:rFonts w:hint="eastAsia" w:ascii="Times New Roman"/>
                <w:szCs w:val="21"/>
              </w:rPr>
              <w:t>）</w:t>
            </w:r>
          </w:p>
        </w:tc>
        <w:tc>
          <w:tcPr>
            <w:tcW w:w="2835" w:type="dxa"/>
            <w:vAlign w:val="center"/>
          </w:tcPr>
          <w:p>
            <w:pPr>
              <w:pStyle w:val="36"/>
              <w:spacing w:line="276" w:lineRule="auto"/>
              <w:ind w:firstLine="0" w:firstLineChars="0"/>
              <w:jc w:val="center"/>
              <w:rPr>
                <w:rFonts w:ascii="Times New Roman"/>
                <w:szCs w:val="21"/>
              </w:rPr>
            </w:pPr>
            <w:r>
              <w:rPr>
                <w:rFonts w:hint="eastAsia" w:ascii="Times New Roman"/>
                <w:szCs w:val="21"/>
              </w:rPr>
              <w:t>石灰石、粘土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678" w:type="dxa"/>
            <w:vAlign w:val="center"/>
          </w:tcPr>
          <w:p>
            <w:pPr>
              <w:pStyle w:val="36"/>
              <w:spacing w:line="276" w:lineRule="auto"/>
              <w:ind w:firstLine="0" w:firstLineChars="0"/>
              <w:jc w:val="center"/>
              <w:rPr>
                <w:rFonts w:ascii="Times New Roman"/>
                <w:szCs w:val="21"/>
              </w:rPr>
            </w:pPr>
            <w:r>
              <w:rPr>
                <w:rFonts w:hint="eastAsia" w:ascii="Times New Roman"/>
                <w:szCs w:val="21"/>
              </w:rPr>
              <w:t>颗粒物形成（</w:t>
            </w:r>
            <w:r>
              <w:rPr>
                <w:rFonts w:ascii="Times New Roman"/>
                <w:szCs w:val="21"/>
              </w:rPr>
              <w:t>fine particulate matter formation</w:t>
            </w:r>
            <w:r>
              <w:rPr>
                <w:rFonts w:hint="eastAsia" w:ascii="Times New Roman"/>
                <w:szCs w:val="21"/>
              </w:rPr>
              <w:t>）</w:t>
            </w:r>
          </w:p>
        </w:tc>
        <w:tc>
          <w:tcPr>
            <w:tcW w:w="2835" w:type="dxa"/>
            <w:vAlign w:val="center"/>
          </w:tcPr>
          <w:p>
            <w:pPr>
              <w:pStyle w:val="36"/>
              <w:spacing w:line="276" w:lineRule="auto"/>
              <w:ind w:firstLine="0" w:firstLineChars="0"/>
              <w:jc w:val="center"/>
              <w:rPr>
                <w:rFonts w:ascii="Times New Roman"/>
                <w:szCs w:val="21"/>
              </w:rPr>
            </w:pPr>
            <w:r>
              <w:rPr>
                <w:rFonts w:hint="eastAsia" w:ascii="Times New Roman"/>
                <w:szCs w:val="21"/>
              </w:rPr>
              <w:t>颗粒物、</w:t>
            </w:r>
            <w:r>
              <w:rPr>
                <w:rFonts w:ascii="Times New Roman"/>
                <w:szCs w:val="21"/>
              </w:rPr>
              <w:t>SO</w:t>
            </w:r>
            <w:r>
              <w:rPr>
                <w:rFonts w:ascii="Times New Roman"/>
                <w:szCs w:val="21"/>
                <w:vertAlign w:val="subscript"/>
              </w:rPr>
              <w:t>2</w:t>
            </w:r>
            <w:r>
              <w:rPr>
                <w:rFonts w:hint="eastAsia" w:ascii="Times New Roman"/>
                <w:szCs w:val="21"/>
              </w:rPr>
              <w:t>、</w:t>
            </w:r>
            <w:r>
              <w:rPr>
                <w:rFonts w:ascii="Times New Roman"/>
                <w:szCs w:val="21"/>
              </w:rPr>
              <w:t>NO</w:t>
            </w:r>
            <w:r>
              <w:rPr>
                <w:rFonts w:ascii="Times New Roman"/>
                <w:szCs w:val="21"/>
                <w:vertAlign w:val="subscript"/>
              </w:rPr>
              <w:t>x</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678" w:type="dxa"/>
            <w:vAlign w:val="center"/>
          </w:tcPr>
          <w:p>
            <w:pPr>
              <w:pStyle w:val="36"/>
              <w:spacing w:line="276" w:lineRule="auto"/>
              <w:ind w:firstLine="0" w:firstLineChars="0"/>
              <w:jc w:val="center"/>
              <w:rPr>
                <w:rFonts w:ascii="Times New Roman"/>
                <w:szCs w:val="21"/>
              </w:rPr>
            </w:pPr>
            <w:r>
              <w:rPr>
                <w:rFonts w:hint="eastAsia" w:ascii="Times New Roman"/>
                <w:szCs w:val="21"/>
              </w:rPr>
              <w:t>陆地生态系统酸化（</w:t>
            </w:r>
            <w:r>
              <w:rPr>
                <w:rFonts w:ascii="Times New Roman"/>
                <w:szCs w:val="21"/>
              </w:rPr>
              <w:t>terrestrial acidification</w:t>
            </w:r>
            <w:r>
              <w:rPr>
                <w:rFonts w:hint="eastAsia" w:ascii="Times New Roman"/>
                <w:szCs w:val="21"/>
              </w:rPr>
              <w:t>）</w:t>
            </w:r>
          </w:p>
        </w:tc>
        <w:tc>
          <w:tcPr>
            <w:tcW w:w="2835" w:type="dxa"/>
            <w:vAlign w:val="center"/>
          </w:tcPr>
          <w:p>
            <w:pPr>
              <w:pStyle w:val="36"/>
              <w:spacing w:line="276" w:lineRule="auto"/>
              <w:ind w:firstLine="0" w:firstLineChars="0"/>
              <w:jc w:val="center"/>
              <w:rPr>
                <w:rFonts w:ascii="Times New Roman"/>
                <w:szCs w:val="21"/>
              </w:rPr>
            </w:pPr>
            <w:r>
              <w:rPr>
                <w:rFonts w:ascii="Times New Roman"/>
                <w:szCs w:val="21"/>
              </w:rPr>
              <w:t>NH</w:t>
            </w:r>
            <w:r>
              <w:rPr>
                <w:rFonts w:ascii="Times New Roman"/>
                <w:szCs w:val="21"/>
                <w:vertAlign w:val="subscript"/>
              </w:rPr>
              <w:t>3</w:t>
            </w:r>
            <w:r>
              <w:rPr>
                <w:rFonts w:hint="eastAsia" w:ascii="Times New Roman"/>
                <w:szCs w:val="21"/>
              </w:rPr>
              <w:t>、</w:t>
            </w:r>
            <w:r>
              <w:rPr>
                <w:rFonts w:ascii="Times New Roman"/>
                <w:szCs w:val="21"/>
              </w:rPr>
              <w:t>SO</w:t>
            </w:r>
            <w:r>
              <w:rPr>
                <w:rFonts w:ascii="Times New Roman"/>
                <w:szCs w:val="21"/>
                <w:vertAlign w:val="subscript"/>
              </w:rPr>
              <w:t>2</w:t>
            </w:r>
            <w:r>
              <w:rPr>
                <w:rFonts w:hint="eastAsia" w:ascii="Times New Roman"/>
                <w:szCs w:val="21"/>
              </w:rPr>
              <w:t>、</w:t>
            </w:r>
            <w:r>
              <w:rPr>
                <w:rFonts w:ascii="Times New Roman"/>
                <w:szCs w:val="21"/>
              </w:rPr>
              <w:t>NOx</w:t>
            </w:r>
          </w:p>
        </w:tc>
      </w:tr>
    </w:tbl>
    <w:p>
      <w:pPr>
        <w:spacing w:line="276" w:lineRule="auto"/>
        <w:ind w:firstLine="480" w:firstLineChars="200"/>
        <w:rPr>
          <w:kern w:val="0"/>
          <w:sz w:val="24"/>
        </w:rPr>
      </w:pPr>
      <w:r>
        <w:rPr>
          <w:rFonts w:hint="eastAsia"/>
          <w:kern w:val="0"/>
          <w:sz w:val="24"/>
        </w:rPr>
        <w:t>（3）分类评价</w:t>
      </w:r>
    </w:p>
    <w:p>
      <w:pPr>
        <w:spacing w:line="276" w:lineRule="auto"/>
        <w:ind w:firstLine="480" w:firstLineChars="200"/>
        <w:rPr>
          <w:kern w:val="0"/>
          <w:sz w:val="24"/>
        </w:rPr>
      </w:pPr>
      <w:r>
        <w:rPr>
          <w:rFonts w:hint="eastAsia"/>
          <w:kern w:val="0"/>
          <w:sz w:val="24"/>
        </w:rPr>
        <w:t>本标准所涉及的污染物排放的环境影响特征化因子采用ReCiPe 2016 Midpoint(H)方法体系，环境影响特征化类型对应特征化模型、类型参数以及来源见表3</w:t>
      </w:r>
      <w:r>
        <w:rPr>
          <w:rFonts w:hint="eastAsia"/>
          <w:kern w:val="0"/>
          <w:sz w:val="24"/>
          <w:lang w:val="en-US" w:eastAsia="zh-CN"/>
        </w:rPr>
        <w:t>-5</w:t>
      </w:r>
      <w:r>
        <w:rPr>
          <w:rFonts w:hint="eastAsia"/>
          <w:kern w:val="0"/>
          <w:sz w:val="24"/>
        </w:rPr>
        <w:t>。</w:t>
      </w:r>
    </w:p>
    <w:p>
      <w:pPr>
        <w:spacing w:line="276" w:lineRule="auto"/>
        <w:jc w:val="center"/>
        <w:rPr>
          <w:kern w:val="0"/>
          <w:sz w:val="24"/>
        </w:rPr>
      </w:pPr>
      <w:r>
        <w:rPr>
          <w:rFonts w:hint="eastAsia"/>
          <w:kern w:val="0"/>
          <w:sz w:val="24"/>
        </w:rPr>
        <w:t>表3-</w:t>
      </w:r>
      <w:r>
        <w:rPr>
          <w:rFonts w:hint="eastAsia"/>
          <w:kern w:val="0"/>
          <w:sz w:val="24"/>
          <w:lang w:val="en-US" w:eastAsia="zh-CN"/>
        </w:rPr>
        <w:t>5</w:t>
      </w:r>
      <w:r>
        <w:rPr>
          <w:kern w:val="0"/>
          <w:sz w:val="24"/>
        </w:rPr>
        <w:t xml:space="preserve"> </w:t>
      </w:r>
      <w:r>
        <w:rPr>
          <w:rFonts w:hint="eastAsia"/>
          <w:sz w:val="24"/>
          <w:lang w:eastAsia="zh-CN"/>
        </w:rPr>
        <w:t>石灰</w:t>
      </w:r>
      <w:r>
        <w:rPr>
          <w:sz w:val="24"/>
        </w:rPr>
        <w:t>产品生命周期影响评价</w:t>
      </w:r>
    </w:p>
    <w:tbl>
      <w:tblPr>
        <w:tblStyle w:val="27"/>
        <w:tblW w:w="6521"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2039"/>
        <w:gridCol w:w="1276"/>
        <w:gridCol w:w="1363"/>
        <w:gridCol w:w="1843"/>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40" w:hRule="atLeast"/>
          <w:jc w:val="center"/>
        </w:trPr>
        <w:tc>
          <w:tcPr>
            <w:tcW w:w="2039" w:type="dxa"/>
            <w:tcBorders>
              <w:top w:val="single" w:color="000000" w:sz="4" w:space="0"/>
              <w:left w:val="single" w:color="000000" w:sz="4" w:space="0"/>
              <w:bottom w:val="single" w:color="000000" w:sz="4" w:space="0"/>
              <w:right w:val="single" w:color="000000" w:sz="4" w:space="0"/>
            </w:tcBorders>
            <w:noWrap/>
            <w:vAlign w:val="center"/>
          </w:tcPr>
          <w:p>
            <w:pPr>
              <w:spacing w:line="276" w:lineRule="auto"/>
              <w:jc w:val="center"/>
              <w:rPr>
                <w:szCs w:val="21"/>
              </w:rPr>
            </w:pPr>
            <w:r>
              <w:rPr>
                <w:rFonts w:hint="eastAsia"/>
                <w:szCs w:val="21"/>
              </w:rPr>
              <w:t>环境影响特征化类型</w:t>
            </w:r>
          </w:p>
        </w:tc>
        <w:tc>
          <w:tcPr>
            <w:tcW w:w="1276" w:type="dxa"/>
            <w:tcBorders>
              <w:top w:val="single" w:color="000000" w:sz="4" w:space="0"/>
              <w:left w:val="single" w:color="000000" w:sz="4" w:space="0"/>
              <w:bottom w:val="single" w:color="000000" w:sz="4" w:space="0"/>
              <w:right w:val="single" w:color="000000" w:sz="4" w:space="0"/>
            </w:tcBorders>
          </w:tcPr>
          <w:p>
            <w:pPr>
              <w:spacing w:line="276" w:lineRule="auto"/>
              <w:jc w:val="center"/>
              <w:rPr>
                <w:szCs w:val="21"/>
              </w:rPr>
            </w:pPr>
            <w:r>
              <w:rPr>
                <w:rFonts w:hint="eastAsia"/>
                <w:szCs w:val="21"/>
              </w:rPr>
              <w:t>单位</w:t>
            </w:r>
          </w:p>
        </w:tc>
        <w:tc>
          <w:tcPr>
            <w:tcW w:w="1363" w:type="dxa"/>
            <w:tcBorders>
              <w:top w:val="single" w:color="000000" w:sz="4" w:space="0"/>
              <w:left w:val="single" w:color="000000" w:sz="4" w:space="0"/>
              <w:bottom w:val="single" w:color="000000" w:sz="4" w:space="0"/>
              <w:right w:val="single" w:color="000000" w:sz="4" w:space="0"/>
            </w:tcBorders>
          </w:tcPr>
          <w:p>
            <w:pPr>
              <w:spacing w:line="276" w:lineRule="auto"/>
              <w:jc w:val="center"/>
              <w:rPr>
                <w:szCs w:val="21"/>
              </w:rPr>
            </w:pPr>
            <w:r>
              <w:rPr>
                <w:rFonts w:hint="eastAsia"/>
                <w:szCs w:val="21"/>
              </w:rPr>
              <w:t>指标参数</w:t>
            </w:r>
          </w:p>
        </w:tc>
        <w:tc>
          <w:tcPr>
            <w:tcW w:w="1843" w:type="dxa"/>
            <w:tcBorders>
              <w:top w:val="single" w:color="000000" w:sz="4" w:space="0"/>
              <w:left w:val="single" w:color="000000" w:sz="4" w:space="0"/>
              <w:bottom w:val="single" w:color="000000" w:sz="4" w:space="0"/>
              <w:right w:val="single" w:color="000000" w:sz="4" w:space="0"/>
            </w:tcBorders>
            <w:vAlign w:val="center"/>
          </w:tcPr>
          <w:p>
            <w:pPr>
              <w:spacing w:line="276" w:lineRule="auto"/>
              <w:jc w:val="center"/>
              <w:rPr>
                <w:szCs w:val="21"/>
              </w:rPr>
            </w:pPr>
            <w:r>
              <w:rPr>
                <w:rFonts w:hint="eastAsia"/>
                <w:szCs w:val="21"/>
              </w:rPr>
              <w:t>特征化因子单位</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40" w:hRule="atLeast"/>
          <w:jc w:val="center"/>
        </w:trPr>
        <w:tc>
          <w:tcPr>
            <w:tcW w:w="2039" w:type="dxa"/>
            <w:tcBorders>
              <w:top w:val="single" w:color="000000" w:sz="4" w:space="0"/>
              <w:left w:val="single" w:color="000000" w:sz="4" w:space="0"/>
              <w:bottom w:val="single" w:color="000000" w:sz="4" w:space="0"/>
              <w:right w:val="single" w:color="000000" w:sz="4" w:space="0"/>
            </w:tcBorders>
            <w:noWrap/>
            <w:vAlign w:val="center"/>
          </w:tcPr>
          <w:p>
            <w:pPr>
              <w:spacing w:line="276" w:lineRule="auto"/>
              <w:jc w:val="center"/>
              <w:rPr>
                <w:rFonts w:hint="default" w:eastAsia="宋体"/>
                <w:szCs w:val="21"/>
                <w:lang w:val="en-US" w:eastAsia="zh-CN"/>
              </w:rPr>
            </w:pPr>
            <w:r>
              <w:rPr>
                <w:rFonts w:hint="eastAsia"/>
                <w:szCs w:val="21"/>
                <w:lang w:val="en-US" w:eastAsia="zh-CN"/>
              </w:rPr>
              <w:t>全球变暖</w:t>
            </w:r>
          </w:p>
        </w:tc>
        <w:tc>
          <w:tcPr>
            <w:tcW w:w="1276" w:type="dxa"/>
            <w:tcBorders>
              <w:top w:val="single" w:color="000000" w:sz="4" w:space="0"/>
              <w:left w:val="single" w:color="000000" w:sz="4" w:space="0"/>
              <w:bottom w:val="single" w:color="000000" w:sz="4" w:space="0"/>
              <w:right w:val="single" w:color="000000" w:sz="4" w:space="0"/>
            </w:tcBorders>
            <w:vAlign w:val="center"/>
          </w:tcPr>
          <w:p>
            <w:pPr>
              <w:spacing w:line="276" w:lineRule="auto"/>
              <w:jc w:val="center"/>
              <w:rPr>
                <w:szCs w:val="21"/>
              </w:rPr>
            </w:pPr>
            <w:r>
              <w:rPr>
                <w:szCs w:val="21"/>
              </w:rPr>
              <w:t>kg CO</w:t>
            </w:r>
            <w:r>
              <w:rPr>
                <w:szCs w:val="21"/>
                <w:vertAlign w:val="subscript"/>
              </w:rPr>
              <w:t>2</w:t>
            </w:r>
            <w:r>
              <w:rPr>
                <w:szCs w:val="21"/>
              </w:rPr>
              <w:t xml:space="preserve"> eq</w:t>
            </w:r>
          </w:p>
        </w:tc>
        <w:tc>
          <w:tcPr>
            <w:tcW w:w="1363" w:type="dxa"/>
            <w:tcBorders>
              <w:top w:val="single" w:color="000000" w:sz="4" w:space="0"/>
              <w:left w:val="single" w:color="000000" w:sz="4" w:space="0"/>
              <w:bottom w:val="single" w:color="000000" w:sz="4" w:space="0"/>
              <w:right w:val="single" w:color="000000" w:sz="4" w:space="0"/>
            </w:tcBorders>
          </w:tcPr>
          <w:p>
            <w:pPr>
              <w:spacing w:line="276" w:lineRule="auto"/>
              <w:jc w:val="center"/>
              <w:rPr>
                <w:szCs w:val="21"/>
              </w:rPr>
            </w:pPr>
            <w:r>
              <w:rPr>
                <w:szCs w:val="21"/>
              </w:rPr>
              <w:t>CO</w:t>
            </w:r>
            <w:r>
              <w:rPr>
                <w:szCs w:val="21"/>
                <w:vertAlign w:val="subscript"/>
              </w:rPr>
              <w:t>2</w:t>
            </w:r>
          </w:p>
        </w:tc>
        <w:tc>
          <w:tcPr>
            <w:tcW w:w="1843" w:type="dxa"/>
            <w:tcBorders>
              <w:top w:val="single" w:color="000000" w:sz="4" w:space="0"/>
              <w:left w:val="single" w:color="000000" w:sz="4" w:space="0"/>
              <w:bottom w:val="single" w:color="000000" w:sz="4" w:space="0"/>
              <w:right w:val="single" w:color="000000" w:sz="4" w:space="0"/>
            </w:tcBorders>
            <w:vAlign w:val="center"/>
          </w:tcPr>
          <w:p>
            <w:pPr>
              <w:spacing w:line="276" w:lineRule="auto"/>
              <w:jc w:val="center"/>
              <w:rPr>
                <w:szCs w:val="21"/>
              </w:rPr>
            </w:pPr>
            <w:r>
              <w:rPr>
                <w:szCs w:val="21"/>
              </w:rPr>
              <w:t>kg CO</w:t>
            </w:r>
            <w:r>
              <w:rPr>
                <w:szCs w:val="21"/>
                <w:vertAlign w:val="subscript"/>
              </w:rPr>
              <w:t>2</w:t>
            </w:r>
            <w:r>
              <w:rPr>
                <w:szCs w:val="21"/>
              </w:rPr>
              <w:t xml:space="preserve"> eq </w:t>
            </w:r>
            <w:r>
              <w:rPr>
                <w:rFonts w:hint="eastAsia"/>
                <w:szCs w:val="21"/>
              </w:rPr>
              <w:t>/</w:t>
            </w:r>
            <w:r>
              <w:rPr>
                <w:szCs w:val="21"/>
              </w:rPr>
              <w:t xml:space="preserve"> </w:t>
            </w:r>
            <w:r>
              <w:rPr>
                <w:rFonts w:hint="eastAsia"/>
                <w:szCs w:val="21"/>
              </w:rPr>
              <w:t>kg</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40" w:hRule="atLeast"/>
          <w:jc w:val="center"/>
        </w:trPr>
        <w:tc>
          <w:tcPr>
            <w:tcW w:w="2039" w:type="dxa"/>
            <w:vMerge w:val="restart"/>
            <w:tcBorders>
              <w:top w:val="single" w:color="000000" w:sz="4" w:space="0"/>
              <w:left w:val="single" w:color="000000" w:sz="4" w:space="0"/>
              <w:right w:val="single" w:color="000000" w:sz="4" w:space="0"/>
            </w:tcBorders>
            <w:noWrap/>
            <w:vAlign w:val="center"/>
          </w:tcPr>
          <w:p>
            <w:pPr>
              <w:spacing w:line="276" w:lineRule="auto"/>
              <w:jc w:val="center"/>
              <w:rPr>
                <w:szCs w:val="21"/>
              </w:rPr>
            </w:pPr>
            <w:r>
              <w:rPr>
                <w:rFonts w:hint="eastAsia"/>
                <w:szCs w:val="21"/>
              </w:rPr>
              <w:t>化石能源耗竭</w:t>
            </w:r>
          </w:p>
        </w:tc>
        <w:tc>
          <w:tcPr>
            <w:tcW w:w="1276" w:type="dxa"/>
            <w:vMerge w:val="restart"/>
            <w:tcBorders>
              <w:top w:val="single" w:color="000000" w:sz="4" w:space="0"/>
              <w:left w:val="single" w:color="000000" w:sz="4" w:space="0"/>
              <w:right w:val="single" w:color="000000" w:sz="4" w:space="0"/>
            </w:tcBorders>
            <w:vAlign w:val="center"/>
          </w:tcPr>
          <w:p>
            <w:pPr>
              <w:spacing w:line="276" w:lineRule="auto"/>
              <w:jc w:val="center"/>
              <w:rPr>
                <w:szCs w:val="21"/>
              </w:rPr>
            </w:pPr>
            <w:r>
              <w:rPr>
                <w:szCs w:val="21"/>
              </w:rPr>
              <w:t>kg oil eq</w:t>
            </w:r>
          </w:p>
        </w:tc>
        <w:tc>
          <w:tcPr>
            <w:tcW w:w="1363" w:type="dxa"/>
            <w:tcBorders>
              <w:top w:val="single" w:color="000000" w:sz="4" w:space="0"/>
              <w:left w:val="single" w:color="000000" w:sz="4" w:space="0"/>
              <w:bottom w:val="single" w:color="000000" w:sz="4" w:space="0"/>
              <w:right w:val="single" w:color="000000" w:sz="4" w:space="0"/>
            </w:tcBorders>
          </w:tcPr>
          <w:p>
            <w:pPr>
              <w:spacing w:line="276" w:lineRule="auto"/>
              <w:jc w:val="center"/>
              <w:rPr>
                <w:szCs w:val="21"/>
              </w:rPr>
            </w:pPr>
            <w:r>
              <w:rPr>
                <w:rFonts w:hint="eastAsia"/>
                <w:szCs w:val="21"/>
              </w:rPr>
              <w:t>原煤</w:t>
            </w:r>
          </w:p>
        </w:tc>
        <w:tc>
          <w:tcPr>
            <w:tcW w:w="1843" w:type="dxa"/>
            <w:tcBorders>
              <w:top w:val="single" w:color="000000" w:sz="4" w:space="0"/>
              <w:left w:val="single" w:color="000000" w:sz="4" w:space="0"/>
              <w:bottom w:val="single" w:color="000000" w:sz="4" w:space="0"/>
              <w:right w:val="single" w:color="000000" w:sz="4" w:space="0"/>
            </w:tcBorders>
            <w:vAlign w:val="center"/>
          </w:tcPr>
          <w:p>
            <w:pPr>
              <w:spacing w:line="276" w:lineRule="auto"/>
              <w:jc w:val="center"/>
              <w:rPr>
                <w:szCs w:val="21"/>
              </w:rPr>
            </w:pPr>
            <w:r>
              <w:rPr>
                <w:rFonts w:hint="eastAsia"/>
                <w:szCs w:val="21"/>
              </w:rPr>
              <w:t>k</w:t>
            </w:r>
            <w:r>
              <w:rPr>
                <w:szCs w:val="21"/>
              </w:rPr>
              <w:t>g oil eq / kg</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40" w:hRule="atLeast"/>
          <w:jc w:val="center"/>
        </w:trPr>
        <w:tc>
          <w:tcPr>
            <w:tcW w:w="2039" w:type="dxa"/>
            <w:vMerge w:val="continue"/>
            <w:tcBorders>
              <w:left w:val="single" w:color="000000" w:sz="4" w:space="0"/>
              <w:right w:val="single" w:color="000000" w:sz="4" w:space="0"/>
            </w:tcBorders>
            <w:noWrap/>
            <w:vAlign w:val="center"/>
          </w:tcPr>
          <w:p>
            <w:pPr>
              <w:spacing w:line="276" w:lineRule="auto"/>
              <w:jc w:val="center"/>
              <w:rPr>
                <w:szCs w:val="21"/>
              </w:rPr>
            </w:pPr>
          </w:p>
        </w:tc>
        <w:tc>
          <w:tcPr>
            <w:tcW w:w="1276" w:type="dxa"/>
            <w:vMerge w:val="continue"/>
            <w:tcBorders>
              <w:left w:val="single" w:color="000000" w:sz="4" w:space="0"/>
              <w:right w:val="single" w:color="000000" w:sz="4" w:space="0"/>
            </w:tcBorders>
            <w:vAlign w:val="center"/>
          </w:tcPr>
          <w:p>
            <w:pPr>
              <w:spacing w:line="276" w:lineRule="auto"/>
              <w:jc w:val="center"/>
              <w:rPr>
                <w:szCs w:val="21"/>
              </w:rPr>
            </w:pPr>
          </w:p>
        </w:tc>
        <w:tc>
          <w:tcPr>
            <w:tcW w:w="1363" w:type="dxa"/>
            <w:tcBorders>
              <w:top w:val="single" w:color="000000" w:sz="4" w:space="0"/>
              <w:left w:val="single" w:color="000000" w:sz="4" w:space="0"/>
              <w:bottom w:val="single" w:color="000000" w:sz="4" w:space="0"/>
              <w:right w:val="single" w:color="000000" w:sz="4" w:space="0"/>
            </w:tcBorders>
          </w:tcPr>
          <w:p>
            <w:pPr>
              <w:spacing w:line="276" w:lineRule="auto"/>
              <w:jc w:val="center"/>
              <w:rPr>
                <w:szCs w:val="21"/>
              </w:rPr>
            </w:pPr>
            <w:r>
              <w:rPr>
                <w:rFonts w:hint="eastAsia"/>
                <w:szCs w:val="21"/>
              </w:rPr>
              <w:t>原油</w:t>
            </w:r>
          </w:p>
        </w:tc>
        <w:tc>
          <w:tcPr>
            <w:tcW w:w="1843" w:type="dxa"/>
            <w:tcBorders>
              <w:top w:val="single" w:color="000000" w:sz="4" w:space="0"/>
              <w:left w:val="single" w:color="000000" w:sz="4" w:space="0"/>
              <w:bottom w:val="single" w:color="000000" w:sz="4" w:space="0"/>
              <w:right w:val="single" w:color="000000" w:sz="4" w:space="0"/>
            </w:tcBorders>
            <w:vAlign w:val="center"/>
          </w:tcPr>
          <w:p>
            <w:pPr>
              <w:spacing w:line="276" w:lineRule="auto"/>
              <w:jc w:val="center"/>
              <w:rPr>
                <w:szCs w:val="21"/>
              </w:rPr>
            </w:pPr>
            <w:r>
              <w:rPr>
                <w:rFonts w:hint="eastAsia"/>
                <w:szCs w:val="21"/>
              </w:rPr>
              <w:t>k</w:t>
            </w:r>
            <w:r>
              <w:rPr>
                <w:szCs w:val="21"/>
              </w:rPr>
              <w:t>g oil eq / kg</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40" w:hRule="atLeast"/>
          <w:jc w:val="center"/>
        </w:trPr>
        <w:tc>
          <w:tcPr>
            <w:tcW w:w="2039" w:type="dxa"/>
            <w:vMerge w:val="restart"/>
            <w:tcBorders>
              <w:left w:val="single" w:color="000000" w:sz="4" w:space="0"/>
              <w:right w:val="single" w:color="000000" w:sz="4" w:space="0"/>
            </w:tcBorders>
            <w:noWrap/>
            <w:vAlign w:val="center"/>
          </w:tcPr>
          <w:p>
            <w:pPr>
              <w:spacing w:line="276" w:lineRule="auto"/>
              <w:jc w:val="center"/>
              <w:rPr>
                <w:szCs w:val="21"/>
              </w:rPr>
            </w:pPr>
            <w:r>
              <w:rPr>
                <w:rFonts w:hint="eastAsia"/>
                <w:szCs w:val="21"/>
              </w:rPr>
              <w:t>矿物资源稀缺</w:t>
            </w:r>
          </w:p>
        </w:tc>
        <w:tc>
          <w:tcPr>
            <w:tcW w:w="1276" w:type="dxa"/>
            <w:vMerge w:val="restart"/>
            <w:tcBorders>
              <w:left w:val="single" w:color="000000" w:sz="4" w:space="0"/>
              <w:right w:val="single" w:color="000000" w:sz="4" w:space="0"/>
            </w:tcBorders>
            <w:vAlign w:val="center"/>
          </w:tcPr>
          <w:p>
            <w:pPr>
              <w:spacing w:line="276" w:lineRule="auto"/>
              <w:jc w:val="center"/>
              <w:rPr>
                <w:szCs w:val="21"/>
              </w:rPr>
            </w:pPr>
            <w:r>
              <w:rPr>
                <w:szCs w:val="21"/>
              </w:rPr>
              <w:t>kg Cu eq</w:t>
            </w:r>
          </w:p>
        </w:tc>
        <w:tc>
          <w:tcPr>
            <w:tcW w:w="1363" w:type="dxa"/>
            <w:tcBorders>
              <w:top w:val="single" w:color="000000" w:sz="4" w:space="0"/>
              <w:left w:val="single" w:color="000000" w:sz="4" w:space="0"/>
              <w:bottom w:val="single" w:color="000000" w:sz="4" w:space="0"/>
              <w:right w:val="single" w:color="000000" w:sz="4" w:space="0"/>
            </w:tcBorders>
          </w:tcPr>
          <w:p>
            <w:pPr>
              <w:spacing w:line="276" w:lineRule="auto"/>
              <w:jc w:val="center"/>
              <w:rPr>
                <w:szCs w:val="21"/>
              </w:rPr>
            </w:pPr>
            <w:r>
              <w:rPr>
                <w:rFonts w:hint="eastAsia"/>
                <w:szCs w:val="21"/>
              </w:rPr>
              <w:t>石灰石</w:t>
            </w:r>
          </w:p>
        </w:tc>
        <w:tc>
          <w:tcPr>
            <w:tcW w:w="1843" w:type="dxa"/>
            <w:tcBorders>
              <w:top w:val="single" w:color="000000" w:sz="4" w:space="0"/>
              <w:left w:val="single" w:color="000000" w:sz="4" w:space="0"/>
              <w:bottom w:val="single" w:color="000000" w:sz="4" w:space="0"/>
              <w:right w:val="single" w:color="000000" w:sz="4" w:space="0"/>
            </w:tcBorders>
            <w:vAlign w:val="center"/>
          </w:tcPr>
          <w:p>
            <w:pPr>
              <w:spacing w:line="276" w:lineRule="auto"/>
              <w:jc w:val="center"/>
              <w:rPr>
                <w:szCs w:val="21"/>
              </w:rPr>
            </w:pPr>
            <w:r>
              <w:rPr>
                <w:rFonts w:hint="eastAsia"/>
                <w:szCs w:val="21"/>
              </w:rPr>
              <w:t>k</w:t>
            </w:r>
            <w:r>
              <w:rPr>
                <w:szCs w:val="21"/>
              </w:rPr>
              <w:t>g C</w:t>
            </w:r>
            <w:r>
              <w:rPr>
                <w:rFonts w:hint="eastAsia"/>
                <w:szCs w:val="21"/>
              </w:rPr>
              <w:t>u</w:t>
            </w:r>
            <w:r>
              <w:rPr>
                <w:szCs w:val="21"/>
              </w:rPr>
              <w:t xml:space="preserve"> eq / kg</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40" w:hRule="atLeast"/>
          <w:jc w:val="center"/>
        </w:trPr>
        <w:tc>
          <w:tcPr>
            <w:tcW w:w="2039" w:type="dxa"/>
            <w:vMerge w:val="continue"/>
            <w:tcBorders>
              <w:left w:val="single" w:color="000000" w:sz="4" w:space="0"/>
              <w:bottom w:val="single" w:color="000000" w:sz="4" w:space="0"/>
              <w:right w:val="single" w:color="000000" w:sz="4" w:space="0"/>
            </w:tcBorders>
            <w:noWrap/>
            <w:vAlign w:val="center"/>
          </w:tcPr>
          <w:p>
            <w:pPr>
              <w:spacing w:line="276" w:lineRule="auto"/>
              <w:jc w:val="center"/>
              <w:rPr>
                <w:szCs w:val="21"/>
              </w:rPr>
            </w:pPr>
          </w:p>
        </w:tc>
        <w:tc>
          <w:tcPr>
            <w:tcW w:w="1276" w:type="dxa"/>
            <w:vMerge w:val="continue"/>
            <w:tcBorders>
              <w:left w:val="single" w:color="000000" w:sz="4" w:space="0"/>
              <w:bottom w:val="single" w:color="000000" w:sz="4" w:space="0"/>
              <w:right w:val="single" w:color="000000" w:sz="4" w:space="0"/>
            </w:tcBorders>
            <w:vAlign w:val="center"/>
          </w:tcPr>
          <w:p>
            <w:pPr>
              <w:spacing w:line="276" w:lineRule="auto"/>
              <w:jc w:val="center"/>
              <w:rPr>
                <w:szCs w:val="21"/>
              </w:rPr>
            </w:pPr>
          </w:p>
        </w:tc>
        <w:tc>
          <w:tcPr>
            <w:tcW w:w="1363" w:type="dxa"/>
            <w:tcBorders>
              <w:top w:val="single" w:color="000000" w:sz="4" w:space="0"/>
              <w:left w:val="single" w:color="000000" w:sz="4" w:space="0"/>
              <w:bottom w:val="single" w:color="000000" w:sz="4" w:space="0"/>
              <w:right w:val="single" w:color="000000" w:sz="4" w:space="0"/>
            </w:tcBorders>
          </w:tcPr>
          <w:p>
            <w:pPr>
              <w:spacing w:line="276" w:lineRule="auto"/>
              <w:jc w:val="center"/>
              <w:rPr>
                <w:szCs w:val="21"/>
              </w:rPr>
            </w:pPr>
            <w:r>
              <w:rPr>
                <w:rFonts w:hint="eastAsia"/>
                <w:szCs w:val="21"/>
              </w:rPr>
              <w:t>粘土</w:t>
            </w:r>
          </w:p>
        </w:tc>
        <w:tc>
          <w:tcPr>
            <w:tcW w:w="1843" w:type="dxa"/>
            <w:tcBorders>
              <w:top w:val="single" w:color="000000" w:sz="4" w:space="0"/>
              <w:left w:val="single" w:color="000000" w:sz="4" w:space="0"/>
              <w:bottom w:val="single" w:color="000000" w:sz="4" w:space="0"/>
              <w:right w:val="single" w:color="000000" w:sz="4" w:space="0"/>
            </w:tcBorders>
            <w:vAlign w:val="center"/>
          </w:tcPr>
          <w:p>
            <w:pPr>
              <w:spacing w:line="276" w:lineRule="auto"/>
              <w:jc w:val="center"/>
              <w:rPr>
                <w:szCs w:val="21"/>
              </w:rPr>
            </w:pPr>
            <w:r>
              <w:rPr>
                <w:rFonts w:hint="eastAsia"/>
                <w:szCs w:val="21"/>
              </w:rPr>
              <w:t>k</w:t>
            </w:r>
            <w:r>
              <w:rPr>
                <w:szCs w:val="21"/>
              </w:rPr>
              <w:t>g C</w:t>
            </w:r>
            <w:r>
              <w:rPr>
                <w:rFonts w:hint="eastAsia"/>
                <w:szCs w:val="21"/>
              </w:rPr>
              <w:t>u</w:t>
            </w:r>
            <w:r>
              <w:rPr>
                <w:szCs w:val="21"/>
              </w:rPr>
              <w:t xml:space="preserve"> eq / kg</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40" w:hRule="atLeast"/>
          <w:jc w:val="center"/>
        </w:trPr>
        <w:tc>
          <w:tcPr>
            <w:tcW w:w="2039" w:type="dxa"/>
            <w:vMerge w:val="restart"/>
            <w:tcBorders>
              <w:top w:val="single" w:color="000000" w:sz="4" w:space="0"/>
              <w:left w:val="single" w:color="000000" w:sz="4" w:space="0"/>
              <w:right w:val="single" w:color="000000" w:sz="4" w:space="0"/>
            </w:tcBorders>
            <w:noWrap/>
            <w:vAlign w:val="center"/>
          </w:tcPr>
          <w:p>
            <w:pPr>
              <w:spacing w:line="276" w:lineRule="auto"/>
              <w:jc w:val="center"/>
              <w:rPr>
                <w:szCs w:val="21"/>
              </w:rPr>
            </w:pPr>
            <w:r>
              <w:rPr>
                <w:rFonts w:hint="eastAsia"/>
                <w:szCs w:val="21"/>
              </w:rPr>
              <w:t>颗粒物形成</w:t>
            </w:r>
          </w:p>
        </w:tc>
        <w:tc>
          <w:tcPr>
            <w:tcW w:w="1276" w:type="dxa"/>
            <w:vMerge w:val="restart"/>
            <w:tcBorders>
              <w:top w:val="single" w:color="000000" w:sz="4" w:space="0"/>
              <w:left w:val="single" w:color="000000" w:sz="4" w:space="0"/>
              <w:right w:val="single" w:color="000000" w:sz="4" w:space="0"/>
            </w:tcBorders>
            <w:vAlign w:val="center"/>
          </w:tcPr>
          <w:p>
            <w:pPr>
              <w:spacing w:line="276" w:lineRule="auto"/>
              <w:jc w:val="center"/>
              <w:rPr>
                <w:szCs w:val="21"/>
              </w:rPr>
            </w:pPr>
            <w:r>
              <w:rPr>
                <w:szCs w:val="21"/>
              </w:rPr>
              <w:t>kg PM2.5 eq</w:t>
            </w:r>
          </w:p>
        </w:tc>
        <w:tc>
          <w:tcPr>
            <w:tcW w:w="1363" w:type="dxa"/>
            <w:tcBorders>
              <w:top w:val="single" w:color="000000" w:sz="4" w:space="0"/>
              <w:left w:val="single" w:color="000000" w:sz="4" w:space="0"/>
              <w:bottom w:val="single" w:color="000000" w:sz="4" w:space="0"/>
              <w:right w:val="single" w:color="000000" w:sz="4" w:space="0"/>
            </w:tcBorders>
          </w:tcPr>
          <w:p>
            <w:pPr>
              <w:spacing w:line="276" w:lineRule="auto"/>
              <w:jc w:val="center"/>
              <w:rPr>
                <w:szCs w:val="21"/>
              </w:rPr>
            </w:pPr>
            <w:r>
              <w:rPr>
                <w:rFonts w:hint="eastAsia"/>
                <w:szCs w:val="21"/>
              </w:rPr>
              <w:t>颗粒物</w:t>
            </w:r>
          </w:p>
        </w:tc>
        <w:tc>
          <w:tcPr>
            <w:tcW w:w="1843" w:type="dxa"/>
            <w:tcBorders>
              <w:top w:val="single" w:color="000000" w:sz="4" w:space="0"/>
              <w:left w:val="single" w:color="000000" w:sz="4" w:space="0"/>
              <w:bottom w:val="single" w:color="000000" w:sz="4" w:space="0"/>
              <w:right w:val="single" w:color="000000" w:sz="4" w:space="0"/>
            </w:tcBorders>
            <w:vAlign w:val="center"/>
          </w:tcPr>
          <w:p>
            <w:pPr>
              <w:spacing w:line="276" w:lineRule="auto"/>
              <w:jc w:val="center"/>
              <w:rPr>
                <w:szCs w:val="21"/>
              </w:rPr>
            </w:pPr>
            <w:r>
              <w:rPr>
                <w:szCs w:val="21"/>
              </w:rPr>
              <w:t>kg PM2.5 eq / kg</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40" w:hRule="atLeast"/>
          <w:jc w:val="center"/>
        </w:trPr>
        <w:tc>
          <w:tcPr>
            <w:tcW w:w="2039" w:type="dxa"/>
            <w:vMerge w:val="continue"/>
            <w:tcBorders>
              <w:left w:val="single" w:color="000000" w:sz="4" w:space="0"/>
              <w:right w:val="single" w:color="000000" w:sz="4" w:space="0"/>
            </w:tcBorders>
            <w:noWrap/>
            <w:vAlign w:val="center"/>
          </w:tcPr>
          <w:p>
            <w:pPr>
              <w:spacing w:line="276" w:lineRule="auto"/>
              <w:jc w:val="center"/>
              <w:rPr>
                <w:szCs w:val="21"/>
              </w:rPr>
            </w:pPr>
          </w:p>
        </w:tc>
        <w:tc>
          <w:tcPr>
            <w:tcW w:w="1276" w:type="dxa"/>
            <w:vMerge w:val="continue"/>
            <w:tcBorders>
              <w:left w:val="single" w:color="000000" w:sz="4" w:space="0"/>
              <w:right w:val="single" w:color="000000" w:sz="4" w:space="0"/>
            </w:tcBorders>
          </w:tcPr>
          <w:p>
            <w:pPr>
              <w:spacing w:line="276" w:lineRule="auto"/>
              <w:jc w:val="center"/>
              <w:rPr>
                <w:szCs w:val="21"/>
              </w:rPr>
            </w:pPr>
          </w:p>
        </w:tc>
        <w:tc>
          <w:tcPr>
            <w:tcW w:w="1363" w:type="dxa"/>
            <w:tcBorders>
              <w:top w:val="single" w:color="000000" w:sz="4" w:space="0"/>
              <w:left w:val="single" w:color="000000" w:sz="4" w:space="0"/>
              <w:bottom w:val="single" w:color="000000" w:sz="4" w:space="0"/>
              <w:right w:val="single" w:color="000000" w:sz="4" w:space="0"/>
            </w:tcBorders>
          </w:tcPr>
          <w:p>
            <w:pPr>
              <w:spacing w:line="276" w:lineRule="auto"/>
              <w:jc w:val="center"/>
              <w:rPr>
                <w:szCs w:val="21"/>
              </w:rPr>
            </w:pPr>
            <w:r>
              <w:rPr>
                <w:szCs w:val="21"/>
              </w:rPr>
              <w:t>SO</w:t>
            </w:r>
            <w:r>
              <w:rPr>
                <w:szCs w:val="21"/>
                <w:vertAlign w:val="subscript"/>
              </w:rPr>
              <w:t>2</w:t>
            </w:r>
          </w:p>
        </w:tc>
        <w:tc>
          <w:tcPr>
            <w:tcW w:w="1843" w:type="dxa"/>
            <w:tcBorders>
              <w:top w:val="single" w:color="000000" w:sz="4" w:space="0"/>
              <w:left w:val="single" w:color="000000" w:sz="4" w:space="0"/>
              <w:bottom w:val="single" w:color="000000" w:sz="4" w:space="0"/>
              <w:right w:val="single" w:color="000000" w:sz="4" w:space="0"/>
            </w:tcBorders>
            <w:vAlign w:val="center"/>
          </w:tcPr>
          <w:p>
            <w:pPr>
              <w:spacing w:line="276" w:lineRule="auto"/>
              <w:jc w:val="center"/>
              <w:rPr>
                <w:szCs w:val="21"/>
              </w:rPr>
            </w:pPr>
            <w:r>
              <w:rPr>
                <w:szCs w:val="21"/>
              </w:rPr>
              <w:t>kg PM2.5 eq / kg</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40" w:hRule="atLeast"/>
          <w:jc w:val="center"/>
        </w:trPr>
        <w:tc>
          <w:tcPr>
            <w:tcW w:w="2039" w:type="dxa"/>
            <w:vMerge w:val="continue"/>
            <w:tcBorders>
              <w:left w:val="single" w:color="000000" w:sz="4" w:space="0"/>
              <w:right w:val="single" w:color="000000" w:sz="4" w:space="0"/>
            </w:tcBorders>
            <w:noWrap/>
            <w:vAlign w:val="center"/>
          </w:tcPr>
          <w:p>
            <w:pPr>
              <w:spacing w:line="276" w:lineRule="auto"/>
              <w:jc w:val="center"/>
              <w:rPr>
                <w:szCs w:val="21"/>
              </w:rPr>
            </w:pPr>
          </w:p>
        </w:tc>
        <w:tc>
          <w:tcPr>
            <w:tcW w:w="1276" w:type="dxa"/>
            <w:vMerge w:val="continue"/>
            <w:tcBorders>
              <w:left w:val="single" w:color="000000" w:sz="4" w:space="0"/>
              <w:right w:val="single" w:color="000000" w:sz="4" w:space="0"/>
            </w:tcBorders>
          </w:tcPr>
          <w:p>
            <w:pPr>
              <w:spacing w:line="276" w:lineRule="auto"/>
              <w:jc w:val="center"/>
              <w:rPr>
                <w:szCs w:val="21"/>
              </w:rPr>
            </w:pPr>
          </w:p>
        </w:tc>
        <w:tc>
          <w:tcPr>
            <w:tcW w:w="1363" w:type="dxa"/>
            <w:tcBorders>
              <w:top w:val="single" w:color="000000" w:sz="4" w:space="0"/>
              <w:left w:val="single" w:color="000000" w:sz="4" w:space="0"/>
              <w:bottom w:val="single" w:color="000000" w:sz="4" w:space="0"/>
              <w:right w:val="single" w:color="000000" w:sz="4" w:space="0"/>
            </w:tcBorders>
          </w:tcPr>
          <w:p>
            <w:pPr>
              <w:spacing w:line="276" w:lineRule="auto"/>
              <w:jc w:val="center"/>
              <w:rPr>
                <w:szCs w:val="21"/>
              </w:rPr>
            </w:pPr>
            <w:r>
              <w:rPr>
                <w:szCs w:val="21"/>
              </w:rPr>
              <w:t>NO</w:t>
            </w:r>
            <w:r>
              <w:rPr>
                <w:szCs w:val="21"/>
                <w:vertAlign w:val="subscript"/>
              </w:rPr>
              <w:t>X</w:t>
            </w:r>
          </w:p>
        </w:tc>
        <w:tc>
          <w:tcPr>
            <w:tcW w:w="1843" w:type="dxa"/>
            <w:tcBorders>
              <w:top w:val="single" w:color="000000" w:sz="4" w:space="0"/>
              <w:left w:val="single" w:color="000000" w:sz="4" w:space="0"/>
              <w:bottom w:val="single" w:color="000000" w:sz="4" w:space="0"/>
              <w:right w:val="single" w:color="000000" w:sz="4" w:space="0"/>
            </w:tcBorders>
            <w:vAlign w:val="center"/>
          </w:tcPr>
          <w:p>
            <w:pPr>
              <w:spacing w:line="276" w:lineRule="auto"/>
              <w:jc w:val="center"/>
              <w:rPr>
                <w:szCs w:val="21"/>
              </w:rPr>
            </w:pPr>
            <w:r>
              <w:rPr>
                <w:szCs w:val="21"/>
              </w:rPr>
              <w:t>kg PM2.5 eq / kg</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40" w:hRule="atLeast"/>
          <w:jc w:val="center"/>
        </w:trPr>
        <w:tc>
          <w:tcPr>
            <w:tcW w:w="2039" w:type="dxa"/>
            <w:vMerge w:val="restart"/>
            <w:tcBorders>
              <w:left w:val="single" w:color="000000" w:sz="4" w:space="0"/>
              <w:right w:val="single" w:color="000000" w:sz="4" w:space="0"/>
            </w:tcBorders>
            <w:noWrap/>
            <w:vAlign w:val="center"/>
          </w:tcPr>
          <w:p>
            <w:pPr>
              <w:spacing w:line="276" w:lineRule="auto"/>
              <w:jc w:val="center"/>
              <w:rPr>
                <w:szCs w:val="21"/>
              </w:rPr>
            </w:pPr>
            <w:r>
              <w:rPr>
                <w:rFonts w:hint="eastAsia"/>
                <w:szCs w:val="21"/>
              </w:rPr>
              <w:t>陆地生态系统酸化</w:t>
            </w:r>
          </w:p>
        </w:tc>
        <w:tc>
          <w:tcPr>
            <w:tcW w:w="1276" w:type="dxa"/>
            <w:vMerge w:val="restart"/>
            <w:tcBorders>
              <w:left w:val="single" w:color="000000" w:sz="4" w:space="0"/>
              <w:right w:val="single" w:color="000000" w:sz="4" w:space="0"/>
            </w:tcBorders>
            <w:vAlign w:val="center"/>
          </w:tcPr>
          <w:p>
            <w:pPr>
              <w:spacing w:line="276" w:lineRule="auto"/>
              <w:jc w:val="center"/>
              <w:rPr>
                <w:szCs w:val="21"/>
              </w:rPr>
            </w:pPr>
            <w:r>
              <w:rPr>
                <w:szCs w:val="21"/>
              </w:rPr>
              <w:t>kg SO</w:t>
            </w:r>
            <w:r>
              <w:rPr>
                <w:szCs w:val="21"/>
                <w:vertAlign w:val="subscript"/>
              </w:rPr>
              <w:t>2</w:t>
            </w:r>
            <w:r>
              <w:rPr>
                <w:szCs w:val="21"/>
              </w:rPr>
              <w:t xml:space="preserve"> eq</w:t>
            </w:r>
          </w:p>
        </w:tc>
        <w:tc>
          <w:tcPr>
            <w:tcW w:w="1363" w:type="dxa"/>
            <w:tcBorders>
              <w:top w:val="single" w:color="000000" w:sz="4" w:space="0"/>
              <w:left w:val="single" w:color="000000" w:sz="4" w:space="0"/>
              <w:bottom w:val="single" w:color="000000" w:sz="4" w:space="0"/>
              <w:right w:val="single" w:color="000000" w:sz="4" w:space="0"/>
            </w:tcBorders>
          </w:tcPr>
          <w:p>
            <w:pPr>
              <w:spacing w:line="276" w:lineRule="auto"/>
              <w:jc w:val="center"/>
              <w:rPr>
                <w:szCs w:val="21"/>
              </w:rPr>
            </w:pPr>
            <w:r>
              <w:rPr>
                <w:szCs w:val="21"/>
              </w:rPr>
              <w:t>NH</w:t>
            </w:r>
            <w:r>
              <w:rPr>
                <w:szCs w:val="21"/>
                <w:vertAlign w:val="subscript"/>
              </w:rPr>
              <w:t>3</w:t>
            </w:r>
          </w:p>
        </w:tc>
        <w:tc>
          <w:tcPr>
            <w:tcW w:w="1843" w:type="dxa"/>
            <w:tcBorders>
              <w:top w:val="single" w:color="000000" w:sz="4" w:space="0"/>
              <w:left w:val="single" w:color="000000" w:sz="4" w:space="0"/>
              <w:bottom w:val="single" w:color="000000" w:sz="4" w:space="0"/>
              <w:right w:val="single" w:color="000000" w:sz="4" w:space="0"/>
            </w:tcBorders>
            <w:vAlign w:val="center"/>
          </w:tcPr>
          <w:p>
            <w:pPr>
              <w:spacing w:line="276" w:lineRule="auto"/>
              <w:jc w:val="center"/>
              <w:rPr>
                <w:szCs w:val="21"/>
              </w:rPr>
            </w:pPr>
            <w:r>
              <w:rPr>
                <w:szCs w:val="21"/>
              </w:rPr>
              <w:t>kg SO</w:t>
            </w:r>
            <w:r>
              <w:rPr>
                <w:szCs w:val="21"/>
                <w:vertAlign w:val="subscript"/>
              </w:rPr>
              <w:t>2</w:t>
            </w:r>
            <w:r>
              <w:rPr>
                <w:szCs w:val="21"/>
              </w:rPr>
              <w:t xml:space="preserve"> eq / kg</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40" w:hRule="atLeast"/>
          <w:jc w:val="center"/>
        </w:trPr>
        <w:tc>
          <w:tcPr>
            <w:tcW w:w="2039" w:type="dxa"/>
            <w:vMerge w:val="continue"/>
            <w:tcBorders>
              <w:left w:val="single" w:color="000000" w:sz="4" w:space="0"/>
              <w:right w:val="single" w:color="000000" w:sz="4" w:space="0"/>
            </w:tcBorders>
            <w:noWrap/>
            <w:vAlign w:val="center"/>
          </w:tcPr>
          <w:p>
            <w:pPr>
              <w:spacing w:line="276" w:lineRule="auto"/>
              <w:jc w:val="center"/>
              <w:rPr>
                <w:szCs w:val="21"/>
              </w:rPr>
            </w:pPr>
          </w:p>
        </w:tc>
        <w:tc>
          <w:tcPr>
            <w:tcW w:w="1276" w:type="dxa"/>
            <w:vMerge w:val="continue"/>
            <w:tcBorders>
              <w:left w:val="single" w:color="000000" w:sz="4" w:space="0"/>
              <w:right w:val="single" w:color="000000" w:sz="4" w:space="0"/>
            </w:tcBorders>
          </w:tcPr>
          <w:p>
            <w:pPr>
              <w:spacing w:line="276" w:lineRule="auto"/>
              <w:jc w:val="center"/>
              <w:rPr>
                <w:szCs w:val="21"/>
              </w:rPr>
            </w:pPr>
          </w:p>
        </w:tc>
        <w:tc>
          <w:tcPr>
            <w:tcW w:w="1363" w:type="dxa"/>
            <w:tcBorders>
              <w:top w:val="single" w:color="000000" w:sz="4" w:space="0"/>
              <w:left w:val="single" w:color="000000" w:sz="4" w:space="0"/>
              <w:bottom w:val="single" w:color="000000" w:sz="4" w:space="0"/>
              <w:right w:val="single" w:color="000000" w:sz="4" w:space="0"/>
            </w:tcBorders>
          </w:tcPr>
          <w:p>
            <w:pPr>
              <w:spacing w:line="276" w:lineRule="auto"/>
              <w:jc w:val="center"/>
              <w:rPr>
                <w:szCs w:val="21"/>
              </w:rPr>
            </w:pPr>
            <w:r>
              <w:rPr>
                <w:szCs w:val="21"/>
              </w:rPr>
              <w:t>SO</w:t>
            </w:r>
            <w:r>
              <w:rPr>
                <w:szCs w:val="21"/>
                <w:vertAlign w:val="subscript"/>
              </w:rPr>
              <w:t>2</w:t>
            </w:r>
          </w:p>
        </w:tc>
        <w:tc>
          <w:tcPr>
            <w:tcW w:w="1843" w:type="dxa"/>
            <w:tcBorders>
              <w:top w:val="single" w:color="000000" w:sz="4" w:space="0"/>
              <w:left w:val="single" w:color="000000" w:sz="4" w:space="0"/>
              <w:bottom w:val="single" w:color="000000" w:sz="4" w:space="0"/>
              <w:right w:val="single" w:color="000000" w:sz="4" w:space="0"/>
            </w:tcBorders>
            <w:vAlign w:val="center"/>
          </w:tcPr>
          <w:p>
            <w:pPr>
              <w:spacing w:line="276" w:lineRule="auto"/>
              <w:jc w:val="center"/>
              <w:rPr>
                <w:szCs w:val="21"/>
              </w:rPr>
            </w:pPr>
            <w:r>
              <w:rPr>
                <w:szCs w:val="21"/>
              </w:rPr>
              <w:t>kg SO</w:t>
            </w:r>
            <w:r>
              <w:rPr>
                <w:szCs w:val="21"/>
                <w:vertAlign w:val="subscript"/>
              </w:rPr>
              <w:t>2</w:t>
            </w:r>
            <w:r>
              <w:rPr>
                <w:szCs w:val="21"/>
              </w:rPr>
              <w:t xml:space="preserve"> eq / kg</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40" w:hRule="atLeast"/>
          <w:jc w:val="center"/>
        </w:trPr>
        <w:tc>
          <w:tcPr>
            <w:tcW w:w="2039" w:type="dxa"/>
            <w:vMerge w:val="continue"/>
            <w:tcBorders>
              <w:left w:val="single" w:color="000000" w:sz="4" w:space="0"/>
              <w:bottom w:val="single" w:color="000000" w:sz="4" w:space="0"/>
              <w:right w:val="single" w:color="000000" w:sz="4" w:space="0"/>
            </w:tcBorders>
            <w:noWrap/>
            <w:vAlign w:val="center"/>
          </w:tcPr>
          <w:p>
            <w:pPr>
              <w:spacing w:line="276" w:lineRule="auto"/>
              <w:jc w:val="center"/>
              <w:rPr>
                <w:szCs w:val="21"/>
              </w:rPr>
            </w:pPr>
          </w:p>
        </w:tc>
        <w:tc>
          <w:tcPr>
            <w:tcW w:w="1276" w:type="dxa"/>
            <w:vMerge w:val="continue"/>
            <w:tcBorders>
              <w:left w:val="single" w:color="000000" w:sz="4" w:space="0"/>
              <w:bottom w:val="single" w:color="000000" w:sz="4" w:space="0"/>
              <w:right w:val="single" w:color="000000" w:sz="4" w:space="0"/>
            </w:tcBorders>
          </w:tcPr>
          <w:p>
            <w:pPr>
              <w:spacing w:line="276" w:lineRule="auto"/>
              <w:jc w:val="center"/>
              <w:rPr>
                <w:szCs w:val="21"/>
              </w:rPr>
            </w:pPr>
          </w:p>
        </w:tc>
        <w:tc>
          <w:tcPr>
            <w:tcW w:w="1363" w:type="dxa"/>
            <w:tcBorders>
              <w:top w:val="single" w:color="000000" w:sz="4" w:space="0"/>
              <w:left w:val="single" w:color="000000" w:sz="4" w:space="0"/>
              <w:bottom w:val="single" w:color="000000" w:sz="4" w:space="0"/>
              <w:right w:val="single" w:color="000000" w:sz="4" w:space="0"/>
            </w:tcBorders>
          </w:tcPr>
          <w:p>
            <w:pPr>
              <w:spacing w:line="276" w:lineRule="auto"/>
              <w:jc w:val="center"/>
              <w:rPr>
                <w:szCs w:val="21"/>
              </w:rPr>
            </w:pPr>
            <w:r>
              <w:rPr>
                <w:szCs w:val="21"/>
              </w:rPr>
              <w:t>NO</w:t>
            </w:r>
            <w:r>
              <w:rPr>
                <w:szCs w:val="21"/>
                <w:vertAlign w:val="subscript"/>
              </w:rPr>
              <w:t>X</w:t>
            </w:r>
          </w:p>
        </w:tc>
        <w:tc>
          <w:tcPr>
            <w:tcW w:w="1843" w:type="dxa"/>
            <w:tcBorders>
              <w:top w:val="single" w:color="000000" w:sz="4" w:space="0"/>
              <w:left w:val="single" w:color="000000" w:sz="4" w:space="0"/>
              <w:bottom w:val="single" w:color="000000" w:sz="4" w:space="0"/>
              <w:right w:val="single" w:color="000000" w:sz="4" w:space="0"/>
            </w:tcBorders>
            <w:vAlign w:val="center"/>
          </w:tcPr>
          <w:p>
            <w:pPr>
              <w:spacing w:line="276" w:lineRule="auto"/>
              <w:jc w:val="center"/>
              <w:rPr>
                <w:szCs w:val="21"/>
              </w:rPr>
            </w:pPr>
            <w:r>
              <w:rPr>
                <w:szCs w:val="21"/>
              </w:rPr>
              <w:t>kg SO</w:t>
            </w:r>
            <w:r>
              <w:rPr>
                <w:szCs w:val="21"/>
                <w:vertAlign w:val="subscript"/>
              </w:rPr>
              <w:t>2</w:t>
            </w:r>
            <w:r>
              <w:rPr>
                <w:szCs w:val="21"/>
              </w:rPr>
              <w:t xml:space="preserve"> eq / kg</w:t>
            </w:r>
          </w:p>
        </w:tc>
      </w:tr>
    </w:tbl>
    <w:p>
      <w:pPr>
        <w:spacing w:line="276" w:lineRule="auto"/>
        <w:ind w:firstLine="480" w:firstLineChars="200"/>
        <w:rPr>
          <w:kern w:val="0"/>
          <w:sz w:val="24"/>
        </w:rPr>
      </w:pPr>
      <w:r>
        <w:rPr>
          <w:rFonts w:hint="eastAsia"/>
          <w:kern w:val="0"/>
          <w:sz w:val="24"/>
        </w:rPr>
        <w:t>（4）计算方法</w:t>
      </w:r>
    </w:p>
    <w:p>
      <w:pPr>
        <w:spacing w:line="276" w:lineRule="auto"/>
        <w:ind w:firstLine="480" w:firstLineChars="200"/>
        <w:jc w:val="left"/>
        <w:rPr>
          <w:kern w:val="0"/>
          <w:sz w:val="24"/>
        </w:rPr>
      </w:pPr>
      <w:r>
        <w:rPr>
          <w:kern w:val="0"/>
          <w:sz w:val="24"/>
        </w:rPr>
        <w:t>影响评价结果计算方法</w:t>
      </w:r>
      <w:r>
        <w:rPr>
          <w:rFonts w:hint="eastAsia"/>
          <w:kern w:val="0"/>
          <w:sz w:val="24"/>
        </w:rPr>
        <w:t>如下所示</w:t>
      </w:r>
      <w:r>
        <w:rPr>
          <w:kern w:val="0"/>
          <w:sz w:val="24"/>
        </w:rPr>
        <w:t>。</w:t>
      </w:r>
    </w:p>
    <w:p>
      <w:pPr>
        <w:spacing w:line="276" w:lineRule="auto"/>
        <w:ind w:firstLine="480" w:firstLineChars="200"/>
        <w:jc w:val="right"/>
        <w:rPr>
          <w:kern w:val="0"/>
          <w:sz w:val="24"/>
        </w:rPr>
      </w:pPr>
      <m:oMath>
        <m:sSub>
          <m:sSubPr>
            <m:ctrlPr>
              <w:rPr>
                <w:rFonts w:ascii="Cambria Math" w:hAnsi="Cambria Math"/>
                <w:i/>
                <w:kern w:val="0"/>
                <w:sz w:val="24"/>
              </w:rPr>
            </m:ctrlPr>
          </m:sSubPr>
          <m:e>
            <m:r>
              <m:rPr/>
              <w:rPr>
                <w:rFonts w:ascii="Cambria Math" w:hAnsi="Cambria Math"/>
                <w:kern w:val="0"/>
                <w:sz w:val="24"/>
              </w:rPr>
              <m:t>EP</m:t>
            </m:r>
            <m:ctrlPr>
              <w:rPr>
                <w:rFonts w:ascii="Cambria Math" w:hAnsi="Cambria Math"/>
                <w:i/>
                <w:kern w:val="0"/>
                <w:sz w:val="24"/>
              </w:rPr>
            </m:ctrlPr>
          </m:e>
          <m:sub>
            <m:r>
              <m:rPr/>
              <w:rPr>
                <w:rFonts w:ascii="Cambria Math" w:hAnsi="Cambria Math"/>
                <w:kern w:val="0"/>
                <w:sz w:val="24"/>
              </w:rPr>
              <m:t>i</m:t>
            </m:r>
            <m:ctrlPr>
              <w:rPr>
                <w:rFonts w:ascii="Cambria Math" w:hAnsi="Cambria Math"/>
                <w:i/>
                <w:kern w:val="0"/>
                <w:sz w:val="24"/>
              </w:rPr>
            </m:ctrlPr>
          </m:sub>
        </m:sSub>
        <m:r>
          <m:rPr/>
          <w:rPr>
            <w:rFonts w:ascii="Cambria Math" w:hAnsi="Cambria Math"/>
            <w:kern w:val="0"/>
            <w:sz w:val="24"/>
          </w:rPr>
          <m:t>=</m:t>
        </m:r>
        <m:nary>
          <m:naryPr>
            <m:chr m:val="∑"/>
            <m:limLoc m:val="undOvr"/>
            <m:subHide m:val="1"/>
            <m:supHide m:val="1"/>
            <m:ctrlPr>
              <w:rPr>
                <w:rFonts w:ascii="Cambria Math" w:hAnsi="Cambria Math"/>
                <w:i/>
                <w:kern w:val="0"/>
                <w:sz w:val="24"/>
              </w:rPr>
            </m:ctrlPr>
          </m:naryPr>
          <m:sub>
            <m:ctrlPr>
              <w:rPr>
                <w:rFonts w:ascii="Cambria Math" w:hAnsi="Cambria Math"/>
                <w:i/>
                <w:kern w:val="0"/>
                <w:sz w:val="24"/>
              </w:rPr>
            </m:ctrlPr>
          </m:sub>
          <m:sup>
            <m:ctrlPr>
              <w:rPr>
                <w:rFonts w:ascii="Cambria Math" w:hAnsi="Cambria Math"/>
                <w:i/>
                <w:kern w:val="0"/>
                <w:sz w:val="24"/>
              </w:rPr>
            </m:ctrlPr>
          </m:sup>
          <m:e>
            <m:sSub>
              <m:sSubPr>
                <m:ctrlPr>
                  <w:rPr>
                    <w:rFonts w:ascii="Cambria Math" w:hAnsi="Cambria Math"/>
                    <w:i/>
                    <w:kern w:val="0"/>
                    <w:sz w:val="24"/>
                  </w:rPr>
                </m:ctrlPr>
              </m:sSubPr>
              <m:e>
                <m:r>
                  <m:rPr/>
                  <w:rPr>
                    <w:rFonts w:ascii="Cambria Math" w:hAnsi="Cambria Math"/>
                    <w:kern w:val="0"/>
                    <w:sz w:val="24"/>
                  </w:rPr>
                  <m:t>EP</m:t>
                </m:r>
                <m:ctrlPr>
                  <w:rPr>
                    <w:rFonts w:ascii="Cambria Math" w:hAnsi="Cambria Math"/>
                    <w:i/>
                    <w:kern w:val="0"/>
                    <w:sz w:val="24"/>
                  </w:rPr>
                </m:ctrlPr>
              </m:e>
              <m:sub>
                <m:r>
                  <m:rPr/>
                  <w:rPr>
                    <w:rFonts w:ascii="Cambria Math" w:hAnsi="Cambria Math"/>
                    <w:kern w:val="0"/>
                    <w:sz w:val="24"/>
                  </w:rPr>
                  <m:t>ij</m:t>
                </m:r>
                <m:ctrlPr>
                  <w:rPr>
                    <w:rFonts w:ascii="Cambria Math" w:hAnsi="Cambria Math"/>
                    <w:i/>
                    <w:kern w:val="0"/>
                    <w:sz w:val="24"/>
                  </w:rPr>
                </m:ctrlPr>
              </m:sub>
            </m:sSub>
            <m:ctrlPr>
              <w:rPr>
                <w:rFonts w:ascii="Cambria Math" w:hAnsi="Cambria Math"/>
                <w:i/>
                <w:kern w:val="0"/>
                <w:sz w:val="24"/>
              </w:rPr>
            </m:ctrlPr>
          </m:e>
        </m:nary>
        <m:r>
          <m:rPr/>
          <w:rPr>
            <w:rFonts w:ascii="Cambria Math" w:hAnsi="Cambria Math"/>
            <w:kern w:val="0"/>
            <w:sz w:val="24"/>
          </w:rPr>
          <m:t>=</m:t>
        </m:r>
        <m:nary>
          <m:naryPr>
            <m:chr m:val="∑"/>
            <m:limLoc m:val="undOvr"/>
            <m:subHide m:val="1"/>
            <m:supHide m:val="1"/>
            <m:ctrlPr>
              <w:rPr>
                <w:rFonts w:ascii="Cambria Math" w:hAnsi="Cambria Math"/>
                <w:i/>
                <w:kern w:val="0"/>
                <w:sz w:val="24"/>
              </w:rPr>
            </m:ctrlPr>
          </m:naryPr>
          <m:sub>
            <m:ctrlPr>
              <w:rPr>
                <w:rFonts w:ascii="Cambria Math" w:hAnsi="Cambria Math"/>
                <w:i/>
                <w:kern w:val="0"/>
                <w:sz w:val="24"/>
              </w:rPr>
            </m:ctrlPr>
          </m:sub>
          <m:sup>
            <m:ctrlPr>
              <w:rPr>
                <w:rFonts w:ascii="Cambria Math" w:hAnsi="Cambria Math"/>
                <w:i/>
                <w:kern w:val="0"/>
                <w:sz w:val="24"/>
              </w:rPr>
            </m:ctrlPr>
          </m:sup>
          <m:e>
            <m:sSub>
              <m:sSubPr>
                <m:ctrlPr>
                  <w:rPr>
                    <w:rFonts w:ascii="Cambria Math" w:hAnsi="Cambria Math"/>
                    <w:i/>
                    <w:kern w:val="0"/>
                    <w:sz w:val="24"/>
                  </w:rPr>
                </m:ctrlPr>
              </m:sSubPr>
              <m:e>
                <m:r>
                  <m:rPr/>
                  <w:rPr>
                    <w:rFonts w:ascii="Cambria Math" w:hAnsi="Cambria Math"/>
                    <w:kern w:val="0"/>
                    <w:sz w:val="24"/>
                  </w:rPr>
                  <m:t>Q</m:t>
                </m:r>
                <m:ctrlPr>
                  <w:rPr>
                    <w:rFonts w:ascii="Cambria Math" w:hAnsi="Cambria Math"/>
                    <w:i/>
                    <w:kern w:val="0"/>
                    <w:sz w:val="24"/>
                  </w:rPr>
                </m:ctrlPr>
              </m:e>
              <m:sub>
                <m:r>
                  <m:rPr/>
                  <w:rPr>
                    <w:rFonts w:ascii="Cambria Math" w:hAnsi="Cambria Math"/>
                    <w:kern w:val="0"/>
                    <w:sz w:val="24"/>
                  </w:rPr>
                  <m:t>j</m:t>
                </m:r>
                <m:ctrlPr>
                  <w:rPr>
                    <w:rFonts w:ascii="Cambria Math" w:hAnsi="Cambria Math"/>
                    <w:i/>
                    <w:kern w:val="0"/>
                    <w:sz w:val="24"/>
                  </w:rPr>
                </m:ctrlPr>
              </m:sub>
            </m:sSub>
            <m:r>
              <m:rPr/>
              <w:rPr>
                <w:rFonts w:ascii="Cambria Math" w:hAnsi="Cambria Math"/>
                <w:kern w:val="0"/>
                <w:sz w:val="24"/>
              </w:rPr>
              <m:t>×</m:t>
            </m:r>
            <m:sSub>
              <m:sSubPr>
                <m:ctrlPr>
                  <w:rPr>
                    <w:rFonts w:ascii="Cambria Math" w:hAnsi="Cambria Math"/>
                    <w:i/>
                    <w:kern w:val="0"/>
                    <w:sz w:val="24"/>
                  </w:rPr>
                </m:ctrlPr>
              </m:sSubPr>
              <m:e>
                <m:r>
                  <m:rPr/>
                  <w:rPr>
                    <w:rFonts w:ascii="Cambria Math" w:hAnsi="Cambria Math"/>
                    <w:kern w:val="0"/>
                    <w:sz w:val="24"/>
                  </w:rPr>
                  <m:t>EF</m:t>
                </m:r>
                <m:ctrlPr>
                  <w:rPr>
                    <w:rFonts w:ascii="Cambria Math" w:hAnsi="Cambria Math"/>
                    <w:i/>
                    <w:kern w:val="0"/>
                    <w:sz w:val="24"/>
                  </w:rPr>
                </m:ctrlPr>
              </m:e>
              <m:sub>
                <m:r>
                  <m:rPr/>
                  <w:rPr>
                    <w:rFonts w:ascii="Cambria Math" w:hAnsi="Cambria Math"/>
                    <w:kern w:val="0"/>
                    <w:sz w:val="24"/>
                  </w:rPr>
                  <m:t>ij</m:t>
                </m:r>
                <m:ctrlPr>
                  <w:rPr>
                    <w:rFonts w:ascii="Cambria Math" w:hAnsi="Cambria Math"/>
                    <w:i/>
                    <w:kern w:val="0"/>
                    <w:sz w:val="24"/>
                  </w:rPr>
                </m:ctrlPr>
              </m:sub>
            </m:sSub>
            <m:ctrlPr>
              <w:rPr>
                <w:rFonts w:ascii="Cambria Math" w:hAnsi="Cambria Math"/>
                <w:i/>
                <w:kern w:val="0"/>
                <w:sz w:val="24"/>
              </w:rPr>
            </m:ctrlPr>
          </m:e>
        </m:nary>
      </m:oMath>
      <w:r>
        <w:rPr>
          <w:kern w:val="0"/>
          <w:sz w:val="24"/>
        </w:rPr>
        <w:t>……………………….…………（B.1）</w:t>
      </w:r>
    </w:p>
    <w:p>
      <w:pPr>
        <w:spacing w:line="276" w:lineRule="auto"/>
        <w:ind w:firstLine="480" w:firstLineChars="200"/>
        <w:jc w:val="left"/>
        <w:rPr>
          <w:kern w:val="0"/>
          <w:sz w:val="24"/>
        </w:rPr>
      </w:pPr>
    </w:p>
    <w:p>
      <w:pPr>
        <w:spacing w:line="276" w:lineRule="auto"/>
        <w:jc w:val="left"/>
        <w:rPr>
          <w:kern w:val="0"/>
          <w:sz w:val="24"/>
        </w:rPr>
      </w:pPr>
      <w:r>
        <w:rPr>
          <w:kern w:val="0"/>
          <w:sz w:val="24"/>
        </w:rPr>
        <w:t>式中:</w:t>
      </w:r>
    </w:p>
    <w:p>
      <w:pPr>
        <w:spacing w:line="276" w:lineRule="auto"/>
        <w:ind w:firstLine="480" w:firstLineChars="200"/>
        <w:jc w:val="left"/>
        <w:rPr>
          <w:kern w:val="0"/>
          <w:sz w:val="24"/>
        </w:rPr>
      </w:pPr>
      <w:r>
        <w:rPr>
          <w:i/>
          <w:iCs/>
          <w:kern w:val="0"/>
          <w:sz w:val="24"/>
        </w:rPr>
        <w:t>EP</w:t>
      </w:r>
      <w:r>
        <w:rPr>
          <w:kern w:val="0"/>
          <w:sz w:val="24"/>
          <w:vertAlign w:val="subscript"/>
        </w:rPr>
        <w:t>i</w:t>
      </w:r>
      <w:r>
        <w:rPr>
          <w:kern w:val="0"/>
          <w:sz w:val="24"/>
        </w:rPr>
        <w:t>——第i种影响类型特征化值</w:t>
      </w:r>
      <w:r>
        <w:rPr>
          <w:rFonts w:hint="eastAsia"/>
          <w:kern w:val="0"/>
          <w:sz w:val="24"/>
        </w:rPr>
        <w:t>；</w:t>
      </w:r>
    </w:p>
    <w:p>
      <w:pPr>
        <w:spacing w:line="276" w:lineRule="auto"/>
        <w:ind w:firstLine="480" w:firstLineChars="200"/>
        <w:jc w:val="left"/>
        <w:rPr>
          <w:kern w:val="0"/>
          <w:sz w:val="24"/>
        </w:rPr>
      </w:pPr>
      <w:r>
        <w:rPr>
          <w:i/>
          <w:iCs/>
          <w:kern w:val="0"/>
          <w:sz w:val="24"/>
        </w:rPr>
        <w:t>EP</w:t>
      </w:r>
      <w:r>
        <w:rPr>
          <w:kern w:val="0"/>
          <w:sz w:val="24"/>
          <w:vertAlign w:val="subscript"/>
        </w:rPr>
        <w:t>ij</w:t>
      </w:r>
      <w:r>
        <w:rPr>
          <w:kern w:val="0"/>
          <w:sz w:val="24"/>
        </w:rPr>
        <w:t>——第i种影响类别中第j种清单因子的贡献</w:t>
      </w:r>
      <w:r>
        <w:rPr>
          <w:rFonts w:hint="eastAsia"/>
          <w:kern w:val="0"/>
          <w:sz w:val="24"/>
        </w:rPr>
        <w:t>；</w:t>
      </w:r>
    </w:p>
    <w:p>
      <w:pPr>
        <w:spacing w:line="276" w:lineRule="auto"/>
        <w:ind w:firstLine="480" w:firstLineChars="200"/>
        <w:jc w:val="left"/>
        <w:rPr>
          <w:kern w:val="0"/>
          <w:sz w:val="24"/>
        </w:rPr>
      </w:pPr>
      <w:r>
        <w:rPr>
          <w:i/>
          <w:iCs/>
          <w:kern w:val="0"/>
          <w:sz w:val="24"/>
        </w:rPr>
        <w:t>Q</w:t>
      </w:r>
      <w:r>
        <w:rPr>
          <w:kern w:val="0"/>
          <w:sz w:val="24"/>
          <w:vertAlign w:val="subscript"/>
        </w:rPr>
        <w:t>j</w:t>
      </w:r>
      <w:r>
        <w:rPr>
          <w:kern w:val="0"/>
          <w:sz w:val="24"/>
        </w:rPr>
        <w:t>——第j种清单因子的排放量</w:t>
      </w:r>
      <w:r>
        <w:rPr>
          <w:rFonts w:hint="eastAsia"/>
          <w:kern w:val="0"/>
          <w:sz w:val="24"/>
        </w:rPr>
        <w:t>；</w:t>
      </w:r>
    </w:p>
    <w:p>
      <w:pPr>
        <w:spacing w:line="276" w:lineRule="auto"/>
        <w:ind w:firstLine="480" w:firstLineChars="200"/>
        <w:rPr>
          <w:kern w:val="0"/>
          <w:sz w:val="24"/>
        </w:rPr>
      </w:pPr>
      <w:r>
        <w:rPr>
          <w:i/>
          <w:iCs/>
          <w:kern w:val="0"/>
          <w:sz w:val="24"/>
        </w:rPr>
        <w:t>EF</w:t>
      </w:r>
      <w:r>
        <w:rPr>
          <w:kern w:val="0"/>
          <w:sz w:val="24"/>
          <w:vertAlign w:val="subscript"/>
        </w:rPr>
        <w:t>ij</w:t>
      </w:r>
      <w:r>
        <w:rPr>
          <w:kern w:val="0"/>
          <w:sz w:val="24"/>
        </w:rPr>
        <w:t>——第i种影响类型中第j种清单因子的特征化因子。</w:t>
      </w:r>
    </w:p>
    <w:p>
      <w:pPr>
        <w:spacing w:line="276" w:lineRule="auto"/>
        <w:ind w:firstLine="480" w:firstLineChars="200"/>
        <w:rPr>
          <w:kern w:val="0"/>
          <w:sz w:val="24"/>
        </w:rPr>
      </w:pPr>
      <w:r>
        <w:rPr>
          <w:rFonts w:hint="eastAsia"/>
          <w:kern w:val="0"/>
          <w:sz w:val="24"/>
        </w:rPr>
        <w:t>但是该方法仅能计算表3-5和3-6中提供特征化因子的指标参数造成的环境影响贡献，具有局限性和不完整性。建议在使用该标准进行生命周期评价报告时，可以根据现场数据和背景数据并借助于生命周期评价软件进行</w:t>
      </w:r>
      <w:r>
        <w:rPr>
          <w:rFonts w:hint="eastAsia"/>
          <w:kern w:val="0"/>
          <w:sz w:val="24"/>
          <w:lang w:eastAsia="zh-CN"/>
        </w:rPr>
        <w:t>石灰</w:t>
      </w:r>
      <w:r>
        <w:rPr>
          <w:rFonts w:hint="eastAsia"/>
          <w:kern w:val="0"/>
          <w:sz w:val="24"/>
        </w:rPr>
        <w:t>产品生命周期评价。</w:t>
      </w:r>
    </w:p>
    <w:p>
      <w:pPr>
        <w:pStyle w:val="47"/>
        <w:spacing w:before="120" w:after="120" w:line="276" w:lineRule="auto"/>
        <w:rPr>
          <w:sz w:val="28"/>
          <w:szCs w:val="36"/>
        </w:rPr>
      </w:pPr>
      <w:r>
        <w:rPr>
          <w:rFonts w:hint="eastAsia" w:ascii="Times New Roman" w:hAnsi="Times New Roman" w:cs="Times New Roman"/>
          <w:sz w:val="28"/>
          <w:szCs w:val="36"/>
        </w:rPr>
        <w:t>3.2.</w:t>
      </w:r>
      <w:r>
        <w:rPr>
          <w:rFonts w:ascii="Times New Roman" w:hAnsi="Times New Roman" w:cs="Times New Roman"/>
          <w:sz w:val="28"/>
          <w:szCs w:val="36"/>
        </w:rPr>
        <w:t>8</w:t>
      </w:r>
      <w:r>
        <w:rPr>
          <w:rFonts w:hint="eastAsia" w:ascii="Times New Roman" w:hAnsi="Times New Roman" w:cs="Times New Roman"/>
          <w:sz w:val="28"/>
          <w:szCs w:val="36"/>
        </w:rPr>
        <w:t>.4</w:t>
      </w:r>
      <w:r>
        <w:rPr>
          <w:rFonts w:hint="eastAsia"/>
          <w:sz w:val="28"/>
          <w:szCs w:val="36"/>
        </w:rPr>
        <w:t>生命周期解释和报告</w:t>
      </w:r>
    </w:p>
    <w:p>
      <w:pPr>
        <w:spacing w:line="276" w:lineRule="auto"/>
        <w:ind w:firstLine="480" w:firstLineChars="200"/>
        <w:jc w:val="left"/>
        <w:rPr>
          <w:kern w:val="0"/>
          <w:sz w:val="24"/>
        </w:rPr>
      </w:pPr>
      <w:r>
        <w:rPr>
          <w:rFonts w:hint="eastAsia"/>
          <w:kern w:val="0"/>
          <w:sz w:val="24"/>
        </w:rPr>
        <w:t>本章为生命周期评价解释阶段，是生命周期评价中根据规定的目的和范围的要求对清单分析和（或）影响评价的结果进行归纳以形成结论和建议的阶段。包括产品生命周期模型的稳健性评价、特点问题识别与改进方案确定以及结论、建议和限制。</w:t>
      </w:r>
    </w:p>
    <w:p>
      <w:pPr>
        <w:spacing w:line="276" w:lineRule="auto"/>
        <w:ind w:firstLine="480" w:firstLineChars="200"/>
        <w:jc w:val="left"/>
        <w:rPr>
          <w:kern w:val="0"/>
          <w:sz w:val="24"/>
        </w:rPr>
      </w:pPr>
      <w:r>
        <w:rPr>
          <w:rFonts w:hint="eastAsia"/>
          <w:kern w:val="0"/>
          <w:sz w:val="24"/>
        </w:rPr>
        <w:t>产品生命周期模型的稳健性评价用于评价系统边界、数据来源、分配选择和生命周期影响类型等方法选择对结果的影响程度。宜用于评价</w:t>
      </w:r>
      <w:r>
        <w:rPr>
          <w:rFonts w:hint="eastAsia"/>
          <w:kern w:val="0"/>
          <w:sz w:val="24"/>
          <w:lang w:eastAsia="zh-CN"/>
        </w:rPr>
        <w:t>石灰</w:t>
      </w:r>
      <w:r>
        <w:rPr>
          <w:rFonts w:hint="eastAsia"/>
          <w:kern w:val="0"/>
          <w:sz w:val="24"/>
        </w:rPr>
        <w:t>产品生命周期模型稳健性的工具包括、完整性检查、敏感性检查和一致性检查。</w:t>
      </w:r>
    </w:p>
    <w:p>
      <w:pPr>
        <w:spacing w:line="276" w:lineRule="auto"/>
        <w:ind w:firstLine="480" w:firstLineChars="200"/>
        <w:jc w:val="left"/>
        <w:rPr>
          <w:kern w:val="0"/>
          <w:sz w:val="24"/>
        </w:rPr>
      </w:pPr>
      <w:r>
        <w:rPr>
          <w:rFonts w:hint="eastAsia"/>
          <w:kern w:val="0"/>
          <w:sz w:val="24"/>
        </w:rPr>
        <w:t>特点问题识别与改进方案确定是为了产生环境效益或至少将环境责任降至最低，根据清单分析和影响评价阶段的信息提出一系列与产品相关的绿色设计改进方案。</w:t>
      </w:r>
    </w:p>
    <w:p>
      <w:pPr>
        <w:spacing w:line="276" w:lineRule="auto"/>
        <w:ind w:firstLine="480" w:firstLineChars="200"/>
        <w:jc w:val="left"/>
        <w:rPr>
          <w:kern w:val="0"/>
          <w:sz w:val="24"/>
        </w:rPr>
      </w:pPr>
      <w:r>
        <w:rPr>
          <w:rFonts w:hint="eastAsia"/>
          <w:kern w:val="0"/>
          <w:sz w:val="24"/>
        </w:rPr>
        <w:t>结论、建议和限制则是根据确定的产品生命周期评价的目的和范围阐述结论、建议和限制。结论宜包括评价结果、热点问题摘要和方案。</w:t>
      </w:r>
    </w:p>
    <w:p>
      <w:pPr>
        <w:pStyle w:val="46"/>
        <w:spacing w:line="276" w:lineRule="auto"/>
        <w:rPr>
          <w:rFonts w:cs="Times New Roman"/>
          <w:sz w:val="28"/>
          <w:szCs w:val="28"/>
        </w:rPr>
      </w:pPr>
      <w:bookmarkStart w:id="31" w:name="_Toc42087778"/>
      <w:r>
        <w:rPr>
          <w:rFonts w:hint="eastAsia" w:cs="Times New Roman"/>
          <w:sz w:val="28"/>
          <w:szCs w:val="28"/>
        </w:rPr>
        <w:t>3.2.</w:t>
      </w:r>
      <w:r>
        <w:rPr>
          <w:rFonts w:cs="Times New Roman"/>
          <w:sz w:val="28"/>
          <w:szCs w:val="28"/>
        </w:rPr>
        <w:t xml:space="preserve">9 </w:t>
      </w:r>
      <w:r>
        <w:rPr>
          <w:rFonts w:hint="eastAsia" w:cs="Times New Roman"/>
          <w:sz w:val="28"/>
          <w:szCs w:val="28"/>
        </w:rPr>
        <w:t>附录</w:t>
      </w:r>
      <w:r>
        <w:rPr>
          <w:rFonts w:cs="Times New Roman"/>
          <w:sz w:val="28"/>
          <w:szCs w:val="28"/>
        </w:rPr>
        <w:t>C</w:t>
      </w:r>
      <w:bookmarkEnd w:id="31"/>
    </w:p>
    <w:p>
      <w:pPr>
        <w:spacing w:line="276" w:lineRule="auto"/>
        <w:ind w:firstLine="480" w:firstLineChars="200"/>
        <w:rPr>
          <w:sz w:val="24"/>
        </w:rPr>
      </w:pPr>
      <w:r>
        <w:rPr>
          <w:rFonts w:hint="eastAsia"/>
          <w:sz w:val="24"/>
          <w:szCs w:val="32"/>
        </w:rPr>
        <w:t>附录</w:t>
      </w:r>
      <w:r>
        <w:rPr>
          <w:sz w:val="24"/>
          <w:szCs w:val="32"/>
        </w:rPr>
        <w:t>C</w:t>
      </w:r>
      <w:r>
        <w:rPr>
          <w:rFonts w:hint="eastAsia"/>
          <w:sz w:val="24"/>
          <w:szCs w:val="32"/>
        </w:rPr>
        <w:t>为资料性附录，是现场数据收集信息，包括</w:t>
      </w:r>
      <w:r>
        <w:rPr>
          <w:sz w:val="24"/>
        </w:rPr>
        <w:t>现场数据采集质量要求</w:t>
      </w:r>
      <w:r>
        <w:rPr>
          <w:rFonts w:hint="eastAsia"/>
          <w:sz w:val="24"/>
        </w:rPr>
        <w:t>以及格式。GB/T32161中</w:t>
      </w:r>
      <w:r>
        <w:rPr>
          <w:sz w:val="24"/>
        </w:rPr>
        <w:t>对现场数据采集进行了规定，</w:t>
      </w:r>
      <w:r>
        <w:rPr>
          <w:rFonts w:hint="eastAsia"/>
          <w:sz w:val="24"/>
        </w:rPr>
        <w:t>现场</w:t>
      </w:r>
      <w:r>
        <w:rPr>
          <w:sz w:val="24"/>
        </w:rPr>
        <w:t>数据即</w:t>
      </w:r>
      <w:r>
        <w:rPr>
          <w:rFonts w:hint="eastAsia"/>
          <w:sz w:val="24"/>
        </w:rPr>
        <w:t>通过直接测量、采访或问卷调查。从企业直接获得的数据为现场数据。数据一般包括过程的所有已知输入和输出。输入指消耗的能量、水、材料等。输出指产品、副产品和排放物。可将排放物分为：排至空气、水、土壤的排放物以及作为固体废弃物的排放物。结合</w:t>
      </w:r>
      <w:r>
        <w:rPr>
          <w:rFonts w:hint="eastAsia"/>
          <w:sz w:val="24"/>
          <w:lang w:eastAsia="zh-CN"/>
        </w:rPr>
        <w:t>石灰</w:t>
      </w:r>
      <w:r>
        <w:rPr>
          <w:sz w:val="24"/>
        </w:rPr>
        <w:t>产品</w:t>
      </w:r>
      <w:r>
        <w:rPr>
          <w:rFonts w:hint="eastAsia"/>
          <w:sz w:val="24"/>
        </w:rPr>
        <w:t>生产特征</w:t>
      </w:r>
      <w:r>
        <w:rPr>
          <w:sz w:val="24"/>
        </w:rPr>
        <w:t>，</w:t>
      </w:r>
      <w:r>
        <w:rPr>
          <w:rFonts w:hint="eastAsia"/>
          <w:sz w:val="24"/>
        </w:rPr>
        <w:t>规定</w:t>
      </w:r>
      <w:r>
        <w:rPr>
          <w:sz w:val="24"/>
        </w:rPr>
        <w:t>的现场数据采集表主要</w:t>
      </w:r>
      <w:r>
        <w:rPr>
          <w:rFonts w:hint="eastAsia"/>
          <w:sz w:val="24"/>
        </w:rPr>
        <w:t>包括基本</w:t>
      </w:r>
      <w:r>
        <w:rPr>
          <w:sz w:val="24"/>
        </w:rPr>
        <w:t>信息、产品信息</w:t>
      </w:r>
      <w:r>
        <w:rPr>
          <w:rFonts w:hint="eastAsia"/>
          <w:sz w:val="24"/>
        </w:rPr>
        <w:t>、</w:t>
      </w:r>
      <w:r>
        <w:rPr>
          <w:sz w:val="24"/>
        </w:rPr>
        <w:t>资源消耗及综合利用、能源消耗、</w:t>
      </w:r>
      <w:r>
        <w:rPr>
          <w:rFonts w:hint="eastAsia"/>
          <w:sz w:val="24"/>
        </w:rPr>
        <w:t>污染物</w:t>
      </w:r>
      <w:r>
        <w:rPr>
          <w:sz w:val="24"/>
        </w:rPr>
        <w:t>排放以及</w:t>
      </w:r>
      <w:r>
        <w:rPr>
          <w:rFonts w:hint="eastAsia"/>
          <w:sz w:val="24"/>
        </w:rPr>
        <w:t>协同</w:t>
      </w:r>
      <w:r>
        <w:rPr>
          <w:sz w:val="24"/>
        </w:rPr>
        <w:t>处置几大部分内容。</w:t>
      </w:r>
      <w:r>
        <w:rPr>
          <w:rFonts w:hint="eastAsia"/>
          <w:sz w:val="24"/>
        </w:rPr>
        <w:t>并</w:t>
      </w:r>
      <w:r>
        <w:rPr>
          <w:sz w:val="24"/>
        </w:rPr>
        <w:t>对现场数据采集质量作出要求</w:t>
      </w:r>
      <w:r>
        <w:rPr>
          <w:rFonts w:hint="eastAsia"/>
          <w:sz w:val="24"/>
        </w:rPr>
        <w:t>，</w:t>
      </w:r>
      <w:r>
        <w:rPr>
          <w:sz w:val="24"/>
        </w:rPr>
        <w:t>应</w:t>
      </w:r>
      <w:r>
        <w:rPr>
          <w:rFonts w:hint="eastAsia"/>
          <w:sz w:val="24"/>
        </w:rPr>
        <w:t>具备</w:t>
      </w:r>
      <w:r>
        <w:rPr>
          <w:sz w:val="24"/>
        </w:rPr>
        <w:t>完整性、</w:t>
      </w:r>
      <w:r>
        <w:rPr>
          <w:rFonts w:hint="eastAsia"/>
          <w:sz w:val="24"/>
        </w:rPr>
        <w:t>准确性以及</w:t>
      </w:r>
      <w:r>
        <w:rPr>
          <w:sz w:val="24"/>
        </w:rPr>
        <w:t>一致性。</w:t>
      </w:r>
    </w:p>
    <w:p>
      <w:pPr>
        <w:pStyle w:val="46"/>
        <w:spacing w:before="240" w:after="240" w:line="276" w:lineRule="auto"/>
        <w:rPr>
          <w:rFonts w:cs="Times New Roman"/>
          <w:sz w:val="28"/>
          <w:szCs w:val="28"/>
        </w:rPr>
      </w:pPr>
      <w:bookmarkStart w:id="32" w:name="_Toc42087779"/>
      <w:r>
        <w:rPr>
          <w:rFonts w:hint="eastAsia" w:cs="Times New Roman"/>
          <w:sz w:val="28"/>
          <w:szCs w:val="28"/>
        </w:rPr>
        <w:t>3.2.</w:t>
      </w:r>
      <w:r>
        <w:rPr>
          <w:rFonts w:cs="Times New Roman"/>
          <w:sz w:val="28"/>
          <w:szCs w:val="28"/>
        </w:rPr>
        <w:t xml:space="preserve">10 </w:t>
      </w:r>
      <w:r>
        <w:rPr>
          <w:rFonts w:hint="eastAsia" w:cs="Times New Roman"/>
          <w:sz w:val="28"/>
          <w:szCs w:val="28"/>
        </w:rPr>
        <w:t>附录</w:t>
      </w:r>
      <w:r>
        <w:rPr>
          <w:rFonts w:cs="Times New Roman"/>
          <w:sz w:val="28"/>
          <w:szCs w:val="28"/>
        </w:rPr>
        <w:t>D</w:t>
      </w:r>
      <w:bookmarkEnd w:id="32"/>
    </w:p>
    <w:p>
      <w:pPr>
        <w:spacing w:line="276" w:lineRule="auto"/>
        <w:ind w:firstLine="480" w:firstLineChars="200"/>
        <w:rPr>
          <w:sz w:val="24"/>
        </w:rPr>
      </w:pPr>
      <w:r>
        <w:rPr>
          <w:rFonts w:hint="eastAsia"/>
          <w:sz w:val="24"/>
          <w:szCs w:val="32"/>
        </w:rPr>
        <w:t>附录</w:t>
      </w:r>
      <w:r>
        <w:rPr>
          <w:sz w:val="24"/>
          <w:szCs w:val="32"/>
        </w:rPr>
        <w:t>D</w:t>
      </w:r>
      <w:r>
        <w:rPr>
          <w:rFonts w:hint="eastAsia"/>
          <w:sz w:val="24"/>
          <w:szCs w:val="32"/>
        </w:rPr>
        <w:t>为资料性附录，是背景数据收集信息，包括</w:t>
      </w:r>
      <w:r>
        <w:rPr>
          <w:rFonts w:hint="eastAsia"/>
          <w:sz w:val="24"/>
        </w:rPr>
        <w:t>背景</w:t>
      </w:r>
      <w:r>
        <w:rPr>
          <w:sz w:val="24"/>
        </w:rPr>
        <w:t>数据采集质量要求</w:t>
      </w:r>
      <w:r>
        <w:rPr>
          <w:rFonts w:hint="eastAsia"/>
          <w:sz w:val="24"/>
        </w:rPr>
        <w:t>以及格式。背景数据不是直接测量或计算而得到的数据。背景数据可为行业平均数据。所使用数据的来源应有清楚的文件记载并应载入产品生命周期评价报告。结合</w:t>
      </w:r>
      <w:r>
        <w:rPr>
          <w:rFonts w:hint="eastAsia"/>
          <w:sz w:val="24"/>
          <w:lang w:eastAsia="zh-CN"/>
        </w:rPr>
        <w:t>石灰</w:t>
      </w:r>
      <w:r>
        <w:rPr>
          <w:sz w:val="24"/>
        </w:rPr>
        <w:t>产品</w:t>
      </w:r>
      <w:r>
        <w:rPr>
          <w:rFonts w:hint="eastAsia"/>
          <w:sz w:val="24"/>
        </w:rPr>
        <w:t>生产</w:t>
      </w:r>
      <w:r>
        <w:rPr>
          <w:sz w:val="24"/>
        </w:rPr>
        <w:t>过程</w:t>
      </w:r>
      <w:r>
        <w:rPr>
          <w:rFonts w:hint="eastAsia"/>
          <w:sz w:val="24"/>
        </w:rPr>
        <w:t>，</w:t>
      </w:r>
      <w:r>
        <w:rPr>
          <w:sz w:val="24"/>
        </w:rPr>
        <w:t>将无法直接测量或计算得到的数据</w:t>
      </w:r>
      <w:r>
        <w:rPr>
          <w:rFonts w:hint="eastAsia"/>
          <w:sz w:val="24"/>
        </w:rPr>
        <w:t>分为</w:t>
      </w:r>
      <w:r>
        <w:rPr>
          <w:sz w:val="24"/>
        </w:rPr>
        <w:t>资源、能源、运输方面，</w:t>
      </w:r>
      <w:r>
        <w:rPr>
          <w:rFonts w:hint="eastAsia"/>
          <w:sz w:val="24"/>
        </w:rPr>
        <w:t>同时根据GB/T24044以及GB/T32161中</w:t>
      </w:r>
      <w:r>
        <w:rPr>
          <w:sz w:val="24"/>
        </w:rPr>
        <w:t>的要求</w:t>
      </w:r>
      <w:r>
        <w:rPr>
          <w:rFonts w:hint="eastAsia"/>
          <w:sz w:val="24"/>
        </w:rPr>
        <w:t>需要</w:t>
      </w:r>
      <w:r>
        <w:rPr>
          <w:sz w:val="24"/>
        </w:rPr>
        <w:t>对数据来源、数据获取方式、时间相关性</w:t>
      </w:r>
      <w:r>
        <w:rPr>
          <w:rFonts w:hint="eastAsia"/>
          <w:sz w:val="24"/>
        </w:rPr>
        <w:t>、地域</w:t>
      </w:r>
      <w:r>
        <w:rPr>
          <w:sz w:val="24"/>
        </w:rPr>
        <w:t>相关性以及技术相关性进行描述。</w:t>
      </w:r>
      <w:r>
        <w:rPr>
          <w:rFonts w:hint="eastAsia"/>
          <w:sz w:val="24"/>
        </w:rPr>
        <w:t>此外</w:t>
      </w:r>
      <w:r>
        <w:rPr>
          <w:sz w:val="24"/>
        </w:rPr>
        <w:t>，背景数据采集质量要求应满足代表性、完成性以一致性。</w:t>
      </w:r>
    </w:p>
    <w:p>
      <w:pPr>
        <w:pStyle w:val="46"/>
        <w:spacing w:before="240" w:after="240" w:line="276" w:lineRule="auto"/>
        <w:rPr>
          <w:rFonts w:cs="Times New Roman"/>
          <w:sz w:val="28"/>
          <w:szCs w:val="28"/>
        </w:rPr>
      </w:pPr>
      <w:bookmarkStart w:id="33" w:name="_Toc42087780"/>
      <w:r>
        <w:rPr>
          <w:rFonts w:hint="eastAsia" w:cs="Times New Roman"/>
          <w:sz w:val="28"/>
          <w:szCs w:val="28"/>
        </w:rPr>
        <w:t>3.2.</w:t>
      </w:r>
      <w:r>
        <w:rPr>
          <w:rFonts w:cs="Times New Roman"/>
          <w:sz w:val="28"/>
          <w:szCs w:val="28"/>
        </w:rPr>
        <w:t xml:space="preserve">11 </w:t>
      </w:r>
      <w:r>
        <w:rPr>
          <w:rFonts w:hint="eastAsia" w:cs="Times New Roman"/>
          <w:sz w:val="28"/>
          <w:szCs w:val="28"/>
        </w:rPr>
        <w:t>附录</w:t>
      </w:r>
      <w:r>
        <w:rPr>
          <w:rFonts w:cs="Times New Roman"/>
          <w:sz w:val="28"/>
          <w:szCs w:val="28"/>
        </w:rPr>
        <w:t>E</w:t>
      </w:r>
      <w:bookmarkEnd w:id="33"/>
    </w:p>
    <w:p>
      <w:pPr>
        <w:spacing w:line="276" w:lineRule="auto"/>
        <w:ind w:firstLine="480" w:firstLineChars="200"/>
        <w:rPr>
          <w:sz w:val="24"/>
          <w:szCs w:val="32"/>
        </w:rPr>
      </w:pPr>
      <w:r>
        <w:rPr>
          <w:rFonts w:hint="eastAsia"/>
          <w:sz w:val="24"/>
          <w:szCs w:val="32"/>
        </w:rPr>
        <w:t>附录</w:t>
      </w:r>
      <w:r>
        <w:rPr>
          <w:sz w:val="24"/>
          <w:szCs w:val="32"/>
        </w:rPr>
        <w:t>E</w:t>
      </w:r>
      <w:r>
        <w:rPr>
          <w:rFonts w:hint="eastAsia"/>
          <w:sz w:val="24"/>
          <w:szCs w:val="32"/>
        </w:rPr>
        <w:t>为资料性附录，是</w:t>
      </w:r>
      <w:r>
        <w:rPr>
          <w:rFonts w:hint="eastAsia"/>
          <w:sz w:val="24"/>
          <w:szCs w:val="32"/>
          <w:lang w:eastAsia="zh-CN"/>
        </w:rPr>
        <w:t>石灰</w:t>
      </w:r>
      <w:r>
        <w:rPr>
          <w:sz w:val="24"/>
          <w:szCs w:val="32"/>
        </w:rPr>
        <w:t>产品生命周期清单表</w:t>
      </w:r>
      <w:r>
        <w:rPr>
          <w:rFonts w:hint="eastAsia"/>
          <w:sz w:val="24"/>
          <w:szCs w:val="32"/>
        </w:rPr>
        <w:t>。生命周期</w:t>
      </w:r>
      <w:r>
        <w:rPr>
          <w:sz w:val="24"/>
          <w:szCs w:val="32"/>
        </w:rPr>
        <w:t>清单表是</w:t>
      </w:r>
      <w:r>
        <w:rPr>
          <w:rFonts w:hint="eastAsia"/>
          <w:kern w:val="0"/>
          <w:sz w:val="24"/>
        </w:rPr>
        <w:t>对产品系统的有关输入和输出进行量化，</w:t>
      </w:r>
      <w:r>
        <w:rPr>
          <w:kern w:val="0"/>
          <w:sz w:val="24"/>
        </w:rPr>
        <w:t>同时</w:t>
      </w:r>
      <w:r>
        <w:rPr>
          <w:rFonts w:hint="eastAsia"/>
          <w:kern w:val="0"/>
          <w:sz w:val="24"/>
        </w:rPr>
        <w:t>根据预先确定的研究目的和范围需要确定为</w:t>
      </w:r>
      <w:r>
        <w:rPr>
          <w:kern w:val="0"/>
          <w:sz w:val="24"/>
        </w:rPr>
        <w:t>各单元过程消耗的资源、能源</w:t>
      </w:r>
      <w:r>
        <w:rPr>
          <w:rFonts w:hint="eastAsia"/>
          <w:kern w:val="0"/>
          <w:sz w:val="24"/>
        </w:rPr>
        <w:t>以及大气</w:t>
      </w:r>
      <w:r>
        <w:rPr>
          <w:kern w:val="0"/>
          <w:sz w:val="24"/>
        </w:rPr>
        <w:t>、水体、</w:t>
      </w:r>
      <w:r>
        <w:rPr>
          <w:rFonts w:hint="eastAsia"/>
          <w:kern w:val="0"/>
          <w:sz w:val="24"/>
        </w:rPr>
        <w:t>土壤</w:t>
      </w:r>
      <w:r>
        <w:rPr>
          <w:kern w:val="0"/>
          <w:sz w:val="24"/>
        </w:rPr>
        <w:t>排放的污染物</w:t>
      </w:r>
      <w:r>
        <w:rPr>
          <w:rFonts w:hint="eastAsia"/>
          <w:kern w:val="0"/>
          <w:sz w:val="24"/>
        </w:rPr>
        <w:t>。</w:t>
      </w:r>
    </w:p>
    <w:p>
      <w:pPr>
        <w:pStyle w:val="39"/>
        <w:spacing w:before="156" w:after="156" w:line="276" w:lineRule="auto"/>
        <w:rPr>
          <w:sz w:val="32"/>
          <w:szCs w:val="52"/>
        </w:rPr>
      </w:pPr>
      <w:bookmarkStart w:id="34" w:name="_Toc42087781"/>
      <w:bookmarkStart w:id="35" w:name="_Toc36132047"/>
      <w:r>
        <w:rPr>
          <w:rFonts w:hint="eastAsia"/>
          <w:sz w:val="32"/>
          <w:szCs w:val="52"/>
        </w:rPr>
        <w:t>四、主要验证情况分析</w:t>
      </w:r>
      <w:bookmarkEnd w:id="34"/>
    </w:p>
    <w:p>
      <w:pPr>
        <w:spacing w:line="276" w:lineRule="auto"/>
        <w:ind w:firstLine="480" w:firstLineChars="200"/>
        <w:rPr>
          <w:sz w:val="24"/>
          <w:szCs w:val="32"/>
        </w:rPr>
      </w:pPr>
      <w:r>
        <w:rPr>
          <w:rFonts w:hint="eastAsia"/>
          <w:sz w:val="24"/>
          <w:szCs w:val="32"/>
        </w:rPr>
        <w:t>为验证本标准与现行《生态设计产品评价通则》的一致性、行业适用性以及指标合理性，编制组随机挑选了</w:t>
      </w:r>
      <w:commentRangeStart w:id="4"/>
      <w:r>
        <w:rPr>
          <w:rFonts w:hint="eastAsia"/>
          <w:sz w:val="24"/>
          <w:szCs w:val="32"/>
          <w:lang w:val="en-US" w:eastAsia="zh-CN"/>
        </w:rPr>
        <w:t>5</w:t>
      </w:r>
      <w:r>
        <w:rPr>
          <w:rFonts w:hint="eastAsia"/>
          <w:sz w:val="24"/>
          <w:szCs w:val="32"/>
        </w:rPr>
        <w:t>家</w:t>
      </w:r>
      <w:r>
        <w:rPr>
          <w:rFonts w:hint="eastAsia"/>
          <w:sz w:val="24"/>
          <w:szCs w:val="32"/>
          <w:lang w:eastAsia="zh-CN"/>
        </w:rPr>
        <w:t>石灰</w:t>
      </w:r>
      <w:r>
        <w:rPr>
          <w:rFonts w:hint="eastAsia"/>
          <w:sz w:val="24"/>
          <w:szCs w:val="32"/>
        </w:rPr>
        <w:t>企业</w:t>
      </w:r>
      <w:commentRangeEnd w:id="4"/>
      <w:r>
        <w:commentReference w:id="4"/>
      </w:r>
      <w:r>
        <w:rPr>
          <w:rFonts w:hint="eastAsia"/>
          <w:sz w:val="24"/>
          <w:szCs w:val="32"/>
        </w:rPr>
        <w:t xml:space="preserve">产品进行了《绿色设计产品评价技术规范 </w:t>
      </w:r>
      <w:r>
        <w:rPr>
          <w:rFonts w:hint="eastAsia"/>
          <w:sz w:val="24"/>
          <w:szCs w:val="32"/>
          <w:lang w:eastAsia="zh-CN"/>
        </w:rPr>
        <w:t>石灰</w:t>
      </w:r>
      <w:r>
        <w:rPr>
          <w:rFonts w:hint="eastAsia"/>
          <w:sz w:val="24"/>
          <w:szCs w:val="32"/>
        </w:rPr>
        <w:t>》标准评价要求部分验证工作。本验证主要针对基本要求及评价指标要求所规定条款要求的企业产品符合程度进行，不对具体企业进行指标评分。</w:t>
      </w:r>
    </w:p>
    <w:p>
      <w:pPr>
        <w:spacing w:line="276" w:lineRule="auto"/>
        <w:rPr>
          <w:sz w:val="24"/>
          <w:szCs w:val="32"/>
        </w:rPr>
      </w:pPr>
      <w:r>
        <w:rPr>
          <w:sz w:val="24"/>
          <w:szCs w:val="32"/>
        </w:rPr>
        <w:t xml:space="preserve">4.1 </w:t>
      </w:r>
      <w:r>
        <w:rPr>
          <w:rFonts w:hint="eastAsia"/>
          <w:sz w:val="24"/>
          <w:szCs w:val="32"/>
        </w:rPr>
        <w:t>基本要求</w:t>
      </w:r>
    </w:p>
    <w:p>
      <w:pPr>
        <w:spacing w:line="276" w:lineRule="auto"/>
        <w:ind w:firstLine="480" w:firstLineChars="200"/>
        <w:rPr>
          <w:sz w:val="24"/>
          <w:szCs w:val="32"/>
        </w:rPr>
      </w:pPr>
      <w:r>
        <w:rPr>
          <w:rFonts w:hint="eastAsia"/>
          <w:sz w:val="24"/>
          <w:szCs w:val="32"/>
        </w:rPr>
        <w:t>通过对</w:t>
      </w:r>
      <w:r>
        <w:rPr>
          <w:rFonts w:hint="eastAsia"/>
          <w:sz w:val="24"/>
          <w:szCs w:val="32"/>
          <w:lang w:val="en-US" w:eastAsia="zh-CN"/>
        </w:rPr>
        <w:t>5</w:t>
      </w:r>
      <w:r>
        <w:rPr>
          <w:rFonts w:hint="eastAsia"/>
          <w:sz w:val="24"/>
          <w:szCs w:val="32"/>
        </w:rPr>
        <w:t>家企业情况进行验证，基本要求及评价指标要求。其中</w:t>
      </w:r>
      <w:r>
        <w:rPr>
          <w:rFonts w:hint="eastAsia"/>
          <w:sz w:val="24"/>
          <w:szCs w:val="32"/>
          <w:lang w:val="en-US" w:eastAsia="zh-CN"/>
        </w:rPr>
        <w:t>全部</w:t>
      </w:r>
      <w:r>
        <w:rPr>
          <w:rFonts w:hint="eastAsia"/>
          <w:sz w:val="24"/>
          <w:szCs w:val="32"/>
        </w:rPr>
        <w:t>符合绿色设计产品基本要求及评价指标要求。</w:t>
      </w:r>
    </w:p>
    <w:p>
      <w:pPr>
        <w:spacing w:line="276" w:lineRule="auto"/>
        <w:rPr>
          <w:sz w:val="24"/>
          <w:szCs w:val="32"/>
        </w:rPr>
      </w:pPr>
      <w:r>
        <w:rPr>
          <w:sz w:val="24"/>
          <w:szCs w:val="32"/>
        </w:rPr>
        <w:t xml:space="preserve">4.2 </w:t>
      </w:r>
      <w:commentRangeStart w:id="5"/>
      <w:r>
        <w:rPr>
          <w:rFonts w:hint="eastAsia"/>
          <w:sz w:val="24"/>
          <w:szCs w:val="32"/>
        </w:rPr>
        <w:t>评价指标体系</w:t>
      </w:r>
      <w:commentRangeEnd w:id="5"/>
      <w:r>
        <w:commentReference w:id="5"/>
      </w:r>
    </w:p>
    <w:p>
      <w:pPr>
        <w:spacing w:line="276" w:lineRule="auto"/>
        <w:ind w:firstLine="480" w:firstLineChars="200"/>
        <w:rPr>
          <w:sz w:val="24"/>
          <w:szCs w:val="32"/>
        </w:rPr>
      </w:pPr>
      <w:r>
        <w:rPr>
          <w:rFonts w:hint="eastAsia"/>
          <w:sz w:val="24"/>
          <w:szCs w:val="32"/>
        </w:rPr>
        <w:t>评价指标体系部分依据生态设计产品通则进行企业自我评价，形成以符合性为结论的评价报告，提现指标的创建内容。依据评价结果及企业反馈情况，对部分在实际操作中较难评估的条款进行了可操作性调整。经验证，本标准评价指标体系部分具有可行性。</w:t>
      </w:r>
    </w:p>
    <w:p>
      <w:pPr>
        <w:jc w:val="center"/>
      </w:pPr>
    </w:p>
    <w:p>
      <w:pPr>
        <w:spacing w:line="276" w:lineRule="auto"/>
        <w:ind w:firstLine="480" w:firstLineChars="200"/>
        <w:rPr>
          <w:sz w:val="24"/>
          <w:szCs w:val="32"/>
        </w:rPr>
      </w:pPr>
    </w:p>
    <w:p>
      <w:pPr>
        <w:spacing w:line="276" w:lineRule="auto"/>
        <w:rPr>
          <w:sz w:val="24"/>
          <w:szCs w:val="32"/>
        </w:rPr>
      </w:pPr>
      <w:r>
        <w:rPr>
          <w:sz w:val="24"/>
          <w:szCs w:val="32"/>
        </w:rPr>
        <w:t xml:space="preserve">4.3 </w:t>
      </w:r>
      <w:bookmarkStart w:id="36" w:name="_Hlk42090307"/>
      <w:r>
        <w:rPr>
          <w:rFonts w:hint="eastAsia"/>
          <w:sz w:val="24"/>
          <w:szCs w:val="32"/>
        </w:rPr>
        <w:t>生命周期评价</w:t>
      </w:r>
      <w:bookmarkEnd w:id="36"/>
      <w:r>
        <w:rPr>
          <w:rFonts w:hint="eastAsia"/>
          <w:sz w:val="24"/>
          <w:szCs w:val="32"/>
        </w:rPr>
        <w:t>部分</w:t>
      </w:r>
    </w:p>
    <w:p>
      <w:pPr>
        <w:spacing w:line="276" w:lineRule="auto"/>
        <w:ind w:firstLine="480" w:firstLineChars="200"/>
        <w:rPr>
          <w:rFonts w:hint="eastAsia"/>
          <w:sz w:val="24"/>
          <w:szCs w:val="32"/>
        </w:rPr>
      </w:pPr>
      <w:bookmarkStart w:id="37" w:name="_Hlk48908859"/>
      <w:r>
        <w:rPr>
          <w:rFonts w:hint="eastAsia"/>
          <w:sz w:val="24"/>
          <w:szCs w:val="32"/>
        </w:rPr>
        <w:t>生命周期评价分收集了企业生产数据，包括产品生产阶段的原材料消耗、能源消耗、污染物排放以及运输（运输方式、运输距离、运输量）等直接调研的清单数据，生产数据采用企业现场调研的方式获取，数据统计时间周期</w:t>
      </w:r>
      <w:r>
        <w:rPr>
          <w:rFonts w:hint="eastAsia"/>
          <w:sz w:val="24"/>
          <w:szCs w:val="32"/>
          <w:lang w:val="en-US" w:eastAsia="zh-CN"/>
        </w:rPr>
        <w:t>1整个财务年</w:t>
      </w:r>
      <w:r>
        <w:rPr>
          <w:rFonts w:hint="eastAsia"/>
          <w:sz w:val="24"/>
          <w:szCs w:val="32"/>
        </w:rPr>
        <w:t>，收集到的原料消耗与能源消耗数据以声明单位进行核算。此外，在</w:t>
      </w:r>
      <w:r>
        <w:rPr>
          <w:sz w:val="24"/>
          <w:szCs w:val="32"/>
        </w:rPr>
        <w:t>S</w:t>
      </w:r>
      <w:r>
        <w:rPr>
          <w:rFonts w:hint="eastAsia"/>
          <w:sz w:val="24"/>
          <w:szCs w:val="32"/>
        </w:rPr>
        <w:t xml:space="preserve">imapro数据库中选取合适的背景数据，包括矿石开采、能源生产、原料生产以及厂外运输等基础清单数据。使用ReCiPe </w:t>
      </w:r>
      <w:r>
        <w:rPr>
          <w:sz w:val="24"/>
          <w:szCs w:val="32"/>
        </w:rPr>
        <w:t>E</w:t>
      </w:r>
      <w:r>
        <w:rPr>
          <w:rFonts w:hint="eastAsia"/>
          <w:sz w:val="24"/>
          <w:szCs w:val="32"/>
        </w:rPr>
        <w:t>idpoint(H) V1.06方法体系对</w:t>
      </w:r>
      <w:r>
        <w:rPr>
          <w:rFonts w:hint="eastAsia"/>
          <w:sz w:val="24"/>
          <w:szCs w:val="32"/>
          <w:lang w:eastAsia="zh-CN"/>
        </w:rPr>
        <w:t>石灰</w:t>
      </w:r>
      <w:r>
        <w:rPr>
          <w:rFonts w:hint="eastAsia"/>
          <w:sz w:val="24"/>
          <w:szCs w:val="32"/>
        </w:rPr>
        <w:t>产品全生命周期清单进行环境影响评价，该方法体系涉及全球变暖、臭氧层破坏、人体毒性等18类环境影响指标，借助生命周期评价软件计算得到声明单位产品的各类环境影响指标值。</w:t>
      </w:r>
    </w:p>
    <w:bookmarkEnd w:id="37"/>
    <w:p>
      <w:pPr>
        <w:pStyle w:val="39"/>
        <w:spacing w:before="156" w:after="156" w:line="276" w:lineRule="auto"/>
        <w:rPr>
          <w:sz w:val="32"/>
          <w:szCs w:val="52"/>
        </w:rPr>
      </w:pPr>
      <w:bookmarkStart w:id="38" w:name="_Toc42087782"/>
      <w:r>
        <w:rPr>
          <w:rFonts w:hint="eastAsia"/>
          <w:sz w:val="32"/>
          <w:szCs w:val="52"/>
        </w:rPr>
        <w:t>五、标准中涉及专利情况</w:t>
      </w:r>
      <w:bookmarkEnd w:id="38"/>
    </w:p>
    <w:p>
      <w:pPr>
        <w:spacing w:line="276" w:lineRule="auto"/>
        <w:ind w:firstLine="480" w:firstLineChars="200"/>
        <w:jc w:val="left"/>
        <w:rPr>
          <w:kern w:val="0"/>
          <w:sz w:val="24"/>
        </w:rPr>
      </w:pPr>
      <w:r>
        <w:rPr>
          <w:rFonts w:hint="eastAsia"/>
          <w:kern w:val="0"/>
          <w:sz w:val="24"/>
        </w:rPr>
        <w:t>本标准不涉及专利。</w:t>
      </w:r>
    </w:p>
    <w:p>
      <w:pPr>
        <w:pStyle w:val="39"/>
        <w:spacing w:before="156" w:after="156" w:line="276" w:lineRule="auto"/>
        <w:rPr>
          <w:sz w:val="32"/>
          <w:szCs w:val="52"/>
        </w:rPr>
      </w:pPr>
      <w:bookmarkStart w:id="39" w:name="_Toc42087783"/>
      <w:r>
        <w:rPr>
          <w:rFonts w:hint="eastAsia"/>
          <w:sz w:val="32"/>
          <w:szCs w:val="52"/>
        </w:rPr>
        <w:t>六</w:t>
      </w:r>
      <w:r>
        <w:rPr>
          <w:sz w:val="32"/>
          <w:szCs w:val="52"/>
        </w:rPr>
        <w:t>、标准实施后预期的经济和社会效益</w:t>
      </w:r>
      <w:bookmarkEnd w:id="17"/>
      <w:bookmarkEnd w:id="18"/>
      <w:bookmarkEnd w:id="19"/>
      <w:bookmarkEnd w:id="35"/>
      <w:bookmarkEnd w:id="39"/>
    </w:p>
    <w:p>
      <w:pPr>
        <w:spacing w:line="276" w:lineRule="auto"/>
        <w:ind w:firstLine="480" w:firstLineChars="200"/>
        <w:rPr>
          <w:rFonts w:hint="eastAsia"/>
          <w:sz w:val="24"/>
          <w:szCs w:val="32"/>
        </w:rPr>
      </w:pPr>
      <w:r>
        <w:rPr>
          <w:rFonts w:hint="eastAsia"/>
          <w:sz w:val="24"/>
          <w:szCs w:val="32"/>
        </w:rPr>
        <w:t>（一）经济效益、社会效益、产业规模、推广应用、工程应用情况、预期达到的经济、社会效益；</w:t>
      </w:r>
    </w:p>
    <w:p>
      <w:pPr>
        <w:spacing w:line="276" w:lineRule="auto"/>
        <w:ind w:firstLine="480" w:firstLineChars="200"/>
        <w:rPr>
          <w:sz w:val="24"/>
          <w:szCs w:val="32"/>
        </w:rPr>
      </w:pPr>
      <w:r>
        <w:rPr>
          <w:sz w:val="24"/>
          <w:szCs w:val="32"/>
        </w:rPr>
        <w:t>本标准是我国第一本针对</w:t>
      </w:r>
      <w:r>
        <w:rPr>
          <w:rFonts w:hint="eastAsia"/>
          <w:sz w:val="24"/>
          <w:szCs w:val="32"/>
          <w:lang w:eastAsia="zh-CN"/>
        </w:rPr>
        <w:t>石灰</w:t>
      </w:r>
      <w:r>
        <w:rPr>
          <w:sz w:val="24"/>
          <w:szCs w:val="32"/>
        </w:rPr>
        <w:t>产品生态设计评价技术的国家标准，以国家发布的系列鼓励</w:t>
      </w:r>
      <w:r>
        <w:rPr>
          <w:rFonts w:hint="eastAsia"/>
          <w:sz w:val="24"/>
          <w:szCs w:val="32"/>
          <w:lang w:eastAsia="zh-CN"/>
        </w:rPr>
        <w:t>石灰</w:t>
      </w:r>
      <w:r>
        <w:rPr>
          <w:sz w:val="24"/>
          <w:szCs w:val="32"/>
        </w:rPr>
        <w:t>为代表的传统建材行业实现行业升级，改变以往高能源、资源消耗，严重污染生态环境</w:t>
      </w:r>
      <w:r>
        <w:rPr>
          <w:rFonts w:hint="eastAsia"/>
          <w:sz w:val="24"/>
          <w:szCs w:val="32"/>
        </w:rPr>
        <w:t>的文件</w:t>
      </w:r>
      <w:r>
        <w:rPr>
          <w:sz w:val="24"/>
          <w:szCs w:val="32"/>
        </w:rPr>
        <w:t>为基础依据，所制定标准的技术指标充分结合了国家现行相关标准的技术规定，同时充分考虑从业企业水平的差异性，规定了利于引导企业生产产品实现环境友好性的技术评价体系。</w:t>
      </w:r>
    </w:p>
    <w:p>
      <w:pPr>
        <w:spacing w:line="276" w:lineRule="auto"/>
        <w:ind w:firstLine="480" w:firstLineChars="200"/>
        <w:rPr>
          <w:sz w:val="24"/>
          <w:szCs w:val="32"/>
        </w:rPr>
      </w:pPr>
      <w:r>
        <w:rPr>
          <w:sz w:val="24"/>
          <w:szCs w:val="32"/>
        </w:rPr>
        <w:t>该标准的制定，反映了近些年来我国</w:t>
      </w:r>
      <w:r>
        <w:rPr>
          <w:rFonts w:hint="eastAsia"/>
          <w:sz w:val="24"/>
          <w:szCs w:val="32"/>
          <w:lang w:eastAsia="zh-CN"/>
        </w:rPr>
        <w:t>石灰</w:t>
      </w:r>
      <w:r>
        <w:rPr>
          <w:sz w:val="24"/>
          <w:szCs w:val="32"/>
        </w:rPr>
        <w:t>行业整体技术，特别是环境影响方面相关技术的发展，体现了科技进步和行业发展的真实水平，提倡</w:t>
      </w:r>
      <w:r>
        <w:rPr>
          <w:rFonts w:hint="eastAsia"/>
          <w:sz w:val="24"/>
          <w:szCs w:val="32"/>
          <w:lang w:eastAsia="zh-CN"/>
        </w:rPr>
        <w:t>石灰</w:t>
      </w:r>
      <w:r>
        <w:rPr>
          <w:sz w:val="24"/>
          <w:szCs w:val="32"/>
        </w:rPr>
        <w:t>产品原材料的多样化，开发地方资源，节约自然资源；提倡实现</w:t>
      </w:r>
      <w:r>
        <w:rPr>
          <w:rFonts w:hint="eastAsia"/>
          <w:sz w:val="24"/>
          <w:szCs w:val="32"/>
          <w:lang w:eastAsia="zh-CN"/>
        </w:rPr>
        <w:t>石灰</w:t>
      </w:r>
      <w:r>
        <w:rPr>
          <w:sz w:val="24"/>
          <w:szCs w:val="32"/>
        </w:rPr>
        <w:t>产品生产过程实现绿色生产，节约能源与资源，减小环境负荷；促进传统</w:t>
      </w:r>
      <w:r>
        <w:rPr>
          <w:rFonts w:hint="eastAsia"/>
          <w:sz w:val="24"/>
          <w:szCs w:val="32"/>
          <w:lang w:eastAsia="zh-CN"/>
        </w:rPr>
        <w:t>石灰</w:t>
      </w:r>
      <w:r>
        <w:rPr>
          <w:sz w:val="24"/>
          <w:szCs w:val="32"/>
        </w:rPr>
        <w:t>产品向绿色产品转型。该标准实施之后将产生明显的环保效益和社会效益。</w:t>
      </w:r>
    </w:p>
    <w:p>
      <w:pPr>
        <w:spacing w:line="276" w:lineRule="auto"/>
        <w:ind w:firstLine="480" w:firstLineChars="200"/>
        <w:rPr>
          <w:sz w:val="24"/>
          <w:szCs w:val="32"/>
        </w:rPr>
      </w:pPr>
      <w:r>
        <w:rPr>
          <w:rFonts w:hint="eastAsia"/>
          <w:sz w:val="24"/>
          <w:szCs w:val="32"/>
        </w:rPr>
        <w:t>（二）本标准指标的技术先进性以及本标准的发布对行业及社会发展的促进作用，即与“宜业尚品造福人类”的相关性。</w:t>
      </w:r>
    </w:p>
    <w:p>
      <w:pPr>
        <w:pStyle w:val="8"/>
        <w:ind w:firstLine="480"/>
        <w:rPr>
          <w:rFonts w:ascii="Times New Roman" w:hAnsi="Times New Roman" w:eastAsia="宋体"/>
          <w:sz w:val="24"/>
          <w:szCs w:val="32"/>
        </w:rPr>
      </w:pPr>
      <w:r>
        <w:rPr>
          <w:rFonts w:hint="eastAsia" w:ascii="Times New Roman" w:hAnsi="Times New Roman" w:eastAsia="宋体"/>
          <w:sz w:val="24"/>
          <w:szCs w:val="32"/>
        </w:rPr>
        <w:t>绿色设计是按照全生命周期的理念，在产品设计开发阶段系统考虑原材料选用、生产、销售、使用、回收、处理等各个环节对资源环境造成的影响，力求产品在全生命周期中最大限度降低资源消耗、尽可能少用或不用含有有毒有害物质的原材料，减少污染物产生和排放，从而实现环境保护的活动。</w:t>
      </w:r>
    </w:p>
    <w:p>
      <w:pPr>
        <w:pStyle w:val="8"/>
        <w:ind w:firstLine="480"/>
        <w:rPr>
          <w:rFonts w:ascii="Times New Roman" w:hAnsi="Times New Roman" w:eastAsia="宋体"/>
          <w:sz w:val="24"/>
          <w:szCs w:val="32"/>
        </w:rPr>
      </w:pPr>
      <w:r>
        <w:rPr>
          <w:rFonts w:hint="eastAsia" w:ascii="Times New Roman" w:hAnsi="Times New Roman" w:eastAsia="宋体"/>
          <w:sz w:val="24"/>
          <w:szCs w:val="32"/>
        </w:rPr>
        <w:t>本标准的建立有助于提高企业绿色发展意识和绿色设计水平，充分发挥绿色设计在企业实施绿色发展战略中的作用，充分体现企业在产品设计开发过程中绿色设计水平。标准有助于推动企业建立持续开展绿色设计的管理制度，促进绿色设计与产品创新开发、技术工艺改进相结合，以引领绿色消费为着力点。创建活动要与企业品牌建设紧密结合，充分发挥政策引导和市场机制作用，提升企业产品竞争力和品牌影响力。</w:t>
      </w:r>
    </w:p>
    <w:p>
      <w:pPr>
        <w:pStyle w:val="8"/>
        <w:ind w:firstLine="480"/>
        <w:rPr>
          <w:rFonts w:ascii="Times New Roman" w:hAnsi="Times New Roman" w:eastAsia="宋体"/>
          <w:sz w:val="24"/>
          <w:szCs w:val="32"/>
        </w:rPr>
      </w:pPr>
      <w:r>
        <w:rPr>
          <w:rFonts w:hint="eastAsia" w:ascii="Times New Roman" w:hAnsi="Times New Roman" w:eastAsia="宋体"/>
          <w:sz w:val="24"/>
          <w:szCs w:val="32"/>
        </w:rPr>
        <w:t>从企业角度出发，短期来看，追求绿色生产，可能往往会与利润最大化相矛盾，但从长远来看，绿色发展将成为企业的核心竞争力，实施绿色设计产品建设对于企业来说意味着更高的效率、更低的风险和更大的综合收益。</w:t>
      </w:r>
    </w:p>
    <w:p>
      <w:pPr>
        <w:pStyle w:val="8"/>
        <w:ind w:firstLine="480"/>
        <w:rPr>
          <w:rFonts w:ascii="Times New Roman" w:hAnsi="Times New Roman" w:eastAsia="宋体"/>
          <w:sz w:val="24"/>
          <w:szCs w:val="32"/>
        </w:rPr>
      </w:pPr>
      <w:r>
        <w:rPr>
          <w:rFonts w:hint="eastAsia" w:ascii="Times New Roman" w:hAnsi="Times New Roman" w:eastAsia="宋体"/>
          <w:sz w:val="24"/>
          <w:szCs w:val="32"/>
        </w:rPr>
        <w:t>绿色设计产品评价标准将节能、减排、降碳、节材等生命周期绿色发展理念落地到企业的实际操作层面，结合相关政策的实施，以标准化为手段，将实现企业与行业层面的生态改善目标。</w:t>
      </w:r>
    </w:p>
    <w:p>
      <w:pPr>
        <w:spacing w:line="276" w:lineRule="auto"/>
        <w:ind w:firstLine="480" w:firstLineChars="200"/>
        <w:rPr>
          <w:sz w:val="24"/>
          <w:szCs w:val="32"/>
        </w:rPr>
      </w:pPr>
    </w:p>
    <w:p>
      <w:pPr>
        <w:pStyle w:val="39"/>
        <w:spacing w:before="156" w:after="156" w:line="276" w:lineRule="auto"/>
        <w:rPr>
          <w:sz w:val="32"/>
          <w:szCs w:val="52"/>
        </w:rPr>
      </w:pPr>
      <w:bookmarkStart w:id="40" w:name="_Toc42087784"/>
      <w:bookmarkStart w:id="41" w:name="_Toc529605006"/>
      <w:bookmarkStart w:id="42" w:name="_Toc1139492"/>
      <w:r>
        <w:rPr>
          <w:sz w:val="32"/>
          <w:szCs w:val="52"/>
        </w:rPr>
        <w:t>七、采用国际标准和国外先进标准情况，与国际、国外同类标准水平的对比情况，国内外关键指标对比分析或与测试的国外样品、样机的相关数据对比情况</w:t>
      </w:r>
      <w:bookmarkEnd w:id="40"/>
      <w:bookmarkEnd w:id="41"/>
      <w:bookmarkEnd w:id="42"/>
    </w:p>
    <w:p>
      <w:pPr>
        <w:snapToGrid w:val="0"/>
        <w:spacing w:line="276" w:lineRule="auto"/>
        <w:ind w:firstLine="480" w:firstLineChars="200"/>
        <w:rPr>
          <w:sz w:val="32"/>
          <w:szCs w:val="32"/>
        </w:rPr>
      </w:pPr>
      <w:r>
        <w:rPr>
          <w:rFonts w:hint="eastAsia"/>
          <w:sz w:val="24"/>
          <w:szCs w:val="32"/>
        </w:rPr>
        <w:t>无。</w:t>
      </w:r>
    </w:p>
    <w:p>
      <w:pPr>
        <w:pStyle w:val="39"/>
        <w:spacing w:before="156" w:after="156" w:line="276" w:lineRule="auto"/>
        <w:rPr>
          <w:sz w:val="32"/>
          <w:szCs w:val="52"/>
        </w:rPr>
      </w:pPr>
      <w:bookmarkStart w:id="43" w:name="_Toc1139493"/>
      <w:bookmarkStart w:id="44" w:name="_Toc529605007"/>
      <w:bookmarkStart w:id="45" w:name="_Toc42087785"/>
      <w:r>
        <w:rPr>
          <w:sz w:val="32"/>
          <w:szCs w:val="52"/>
        </w:rPr>
        <w:t>八、与现行相关法律、法规、规章及相关标准，特别是强制性标准的协调性</w:t>
      </w:r>
      <w:bookmarkEnd w:id="43"/>
      <w:bookmarkEnd w:id="44"/>
      <w:bookmarkEnd w:id="45"/>
    </w:p>
    <w:p>
      <w:pPr>
        <w:spacing w:line="276" w:lineRule="auto"/>
        <w:ind w:firstLine="480" w:firstLineChars="200"/>
        <w:rPr>
          <w:rFonts w:hint="eastAsia"/>
          <w:sz w:val="24"/>
          <w:szCs w:val="32"/>
        </w:rPr>
      </w:pPr>
      <w:r>
        <w:rPr>
          <w:rFonts w:hint="eastAsia"/>
          <w:sz w:val="24"/>
          <w:szCs w:val="32"/>
        </w:rPr>
        <w:t>无</w:t>
      </w:r>
    </w:p>
    <w:p>
      <w:pPr>
        <w:pStyle w:val="39"/>
        <w:spacing w:before="156" w:after="156" w:line="276" w:lineRule="auto"/>
        <w:rPr>
          <w:sz w:val="32"/>
          <w:szCs w:val="52"/>
        </w:rPr>
      </w:pPr>
      <w:bookmarkStart w:id="46" w:name="_Toc1139494"/>
      <w:bookmarkStart w:id="47" w:name="_Toc42087786"/>
      <w:bookmarkStart w:id="48" w:name="_Toc529605008"/>
      <w:r>
        <w:rPr>
          <w:sz w:val="32"/>
          <w:szCs w:val="52"/>
        </w:rPr>
        <w:t>九、重大分歧意见的处理经过和依据</w:t>
      </w:r>
      <w:bookmarkEnd w:id="46"/>
      <w:bookmarkEnd w:id="47"/>
      <w:bookmarkEnd w:id="48"/>
    </w:p>
    <w:p>
      <w:pPr>
        <w:spacing w:line="276" w:lineRule="auto"/>
        <w:ind w:firstLine="480" w:firstLineChars="200"/>
        <w:rPr>
          <w:rFonts w:hint="eastAsia"/>
          <w:sz w:val="24"/>
          <w:szCs w:val="32"/>
        </w:rPr>
      </w:pPr>
      <w:r>
        <w:rPr>
          <w:rFonts w:hint="eastAsia"/>
          <w:sz w:val="24"/>
          <w:szCs w:val="32"/>
        </w:rPr>
        <w:t>无。</w:t>
      </w:r>
    </w:p>
    <w:p>
      <w:pPr>
        <w:pStyle w:val="39"/>
        <w:spacing w:before="156" w:after="156" w:line="276" w:lineRule="auto"/>
        <w:rPr>
          <w:sz w:val="32"/>
          <w:szCs w:val="52"/>
        </w:rPr>
      </w:pPr>
      <w:bookmarkStart w:id="49" w:name="_Toc529605009"/>
      <w:bookmarkStart w:id="50" w:name="_Toc42087787"/>
      <w:bookmarkStart w:id="51" w:name="_Toc1139495"/>
      <w:r>
        <w:rPr>
          <w:sz w:val="32"/>
          <w:szCs w:val="52"/>
        </w:rPr>
        <w:t>十、标准性质的建议说明</w:t>
      </w:r>
      <w:bookmarkEnd w:id="49"/>
      <w:bookmarkEnd w:id="50"/>
      <w:bookmarkEnd w:id="51"/>
    </w:p>
    <w:p>
      <w:pPr>
        <w:spacing w:line="276" w:lineRule="auto"/>
        <w:ind w:firstLine="480" w:firstLineChars="200"/>
        <w:rPr>
          <w:rFonts w:hint="eastAsia"/>
          <w:sz w:val="24"/>
          <w:szCs w:val="32"/>
        </w:rPr>
      </w:pPr>
      <w:r>
        <w:rPr>
          <w:rFonts w:hint="eastAsia"/>
          <w:sz w:val="24"/>
          <w:szCs w:val="32"/>
        </w:rPr>
        <w:t>建议本标准作为行业推荐性标准发布。</w:t>
      </w:r>
    </w:p>
    <w:p>
      <w:pPr>
        <w:pStyle w:val="39"/>
        <w:spacing w:before="156" w:after="156" w:line="276" w:lineRule="auto"/>
        <w:rPr>
          <w:sz w:val="32"/>
          <w:szCs w:val="52"/>
        </w:rPr>
      </w:pPr>
      <w:bookmarkStart w:id="52" w:name="_Toc1139496"/>
      <w:bookmarkStart w:id="53" w:name="_Toc529605010"/>
      <w:bookmarkStart w:id="54" w:name="_Toc42087788"/>
      <w:r>
        <w:rPr>
          <w:sz w:val="32"/>
          <w:szCs w:val="52"/>
        </w:rPr>
        <w:t>十一、贯彻标准的要求和措施建议（包括组织措施、技术措施、过度办法、实施日期等）</w:t>
      </w:r>
      <w:bookmarkEnd w:id="52"/>
      <w:bookmarkEnd w:id="53"/>
      <w:bookmarkEnd w:id="54"/>
    </w:p>
    <w:p>
      <w:pPr>
        <w:snapToGrid w:val="0"/>
        <w:spacing w:line="276" w:lineRule="auto"/>
        <w:ind w:firstLine="480" w:firstLineChars="200"/>
        <w:rPr>
          <w:rFonts w:hint="eastAsia"/>
          <w:sz w:val="24"/>
          <w:szCs w:val="32"/>
        </w:rPr>
      </w:pPr>
      <w:r>
        <w:rPr>
          <w:rFonts w:hint="eastAsia"/>
          <w:sz w:val="24"/>
          <w:szCs w:val="32"/>
        </w:rPr>
        <w:t>建议按照标准报批计划确定实施日期。</w:t>
      </w:r>
    </w:p>
    <w:p>
      <w:pPr>
        <w:pStyle w:val="39"/>
        <w:spacing w:before="156" w:after="156" w:line="276" w:lineRule="auto"/>
        <w:rPr>
          <w:sz w:val="32"/>
          <w:szCs w:val="52"/>
        </w:rPr>
      </w:pPr>
      <w:bookmarkStart w:id="55" w:name="_Toc1139497"/>
      <w:bookmarkStart w:id="56" w:name="_Toc529605011"/>
      <w:bookmarkStart w:id="57" w:name="_Toc42087789"/>
      <w:r>
        <w:rPr>
          <w:sz w:val="32"/>
          <w:szCs w:val="52"/>
        </w:rPr>
        <w:t>十二、废止现行相关标准的建议</w:t>
      </w:r>
      <w:bookmarkEnd w:id="55"/>
      <w:bookmarkEnd w:id="56"/>
      <w:bookmarkEnd w:id="57"/>
    </w:p>
    <w:p>
      <w:pPr>
        <w:spacing w:line="276" w:lineRule="auto"/>
        <w:ind w:firstLine="480" w:firstLineChars="200"/>
        <w:rPr>
          <w:rFonts w:hint="eastAsia"/>
          <w:sz w:val="24"/>
          <w:szCs w:val="32"/>
        </w:rPr>
      </w:pPr>
      <w:r>
        <w:rPr>
          <w:rFonts w:hint="eastAsia"/>
          <w:sz w:val="24"/>
          <w:szCs w:val="32"/>
        </w:rPr>
        <w:t>无。</w:t>
      </w:r>
    </w:p>
    <w:p>
      <w:pPr>
        <w:pStyle w:val="39"/>
        <w:spacing w:before="156" w:after="156" w:line="276" w:lineRule="auto"/>
        <w:rPr>
          <w:sz w:val="32"/>
          <w:szCs w:val="52"/>
        </w:rPr>
      </w:pPr>
      <w:bookmarkStart w:id="58" w:name="_Toc1139498"/>
      <w:bookmarkStart w:id="59" w:name="_Toc529605012"/>
      <w:bookmarkStart w:id="60" w:name="_Toc42087790"/>
      <w:r>
        <w:rPr>
          <w:sz w:val="32"/>
          <w:szCs w:val="52"/>
        </w:rPr>
        <w:t>十三、其它应予说明的事项</w:t>
      </w:r>
      <w:bookmarkEnd w:id="58"/>
      <w:bookmarkEnd w:id="59"/>
      <w:bookmarkEnd w:id="60"/>
    </w:p>
    <w:p>
      <w:pPr>
        <w:spacing w:line="276" w:lineRule="auto"/>
        <w:ind w:firstLine="480" w:firstLineChars="200"/>
        <w:rPr>
          <w:rFonts w:hint="eastAsia"/>
          <w:sz w:val="24"/>
          <w:szCs w:val="32"/>
        </w:rPr>
      </w:pPr>
      <w:r>
        <w:rPr>
          <w:rFonts w:hint="eastAsia"/>
          <w:sz w:val="24"/>
          <w:szCs w:val="32"/>
        </w:rPr>
        <w:t>无。</w:t>
      </w:r>
    </w:p>
    <w:p>
      <w:pPr>
        <w:spacing w:line="276" w:lineRule="auto"/>
        <w:rPr>
          <w:sz w:val="24"/>
          <w:szCs w:val="32"/>
        </w:rPr>
      </w:pPr>
      <w:bookmarkStart w:id="61" w:name="_GoBack"/>
      <w:bookmarkEnd w:id="61"/>
    </w:p>
    <w:sectPr>
      <w:footerReference r:id="rId9" w:type="default"/>
      <w:pgSz w:w="11906" w:h="16838"/>
      <w:pgMar w:top="1440" w:right="1800" w:bottom="1440" w:left="1800" w:header="737" w:footer="737" w:gutter="0"/>
      <w:pgNumType w:start="1"/>
      <w:cols w:space="720" w:num="1"/>
      <w:formProt w:val="0"/>
      <w:docGrid w:type="lines" w:linePitch="312" w:charSpace="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comment w:id="0" w:author="liuning" w:date="2022-01-19T10:49:59Z" w:initials="">
    <w:p w14:paraId="7F531BBE">
      <w:pPr>
        <w:pStyle w:val="10"/>
        <w:rPr>
          <w:rFonts w:hint="eastAsia" w:eastAsiaTheme="minorEastAsia"/>
          <w:lang w:eastAsia="zh-CN"/>
        </w:rPr>
      </w:pPr>
      <w:r>
        <w:rPr>
          <w:rFonts w:hint="eastAsia"/>
          <w:lang w:eastAsia="zh-CN"/>
        </w:rPr>
        <w:t>调研情况</w:t>
      </w:r>
    </w:p>
  </w:comment>
  <w:comment w:id="1" w:author="liuning" w:date="2022-01-19T10:49:02Z" w:initials="">
    <w:p w14:paraId="5E631A59">
      <w:pPr>
        <w:pStyle w:val="10"/>
        <w:rPr>
          <w:rFonts w:hint="eastAsia" w:eastAsiaTheme="minorEastAsia"/>
          <w:lang w:eastAsia="zh-CN"/>
        </w:rPr>
      </w:pPr>
      <w:r>
        <w:rPr>
          <w:rFonts w:hint="eastAsia"/>
          <w:lang w:eastAsia="zh-CN"/>
        </w:rPr>
        <w:t>具体情况说明</w:t>
      </w:r>
    </w:p>
  </w:comment>
  <w:comment w:id="2" w:author="liuning" w:date="2022-01-19T10:51:44Z" w:initials="">
    <w:p w14:paraId="0DBA5FA3">
      <w:pPr>
        <w:pStyle w:val="10"/>
        <w:rPr>
          <w:rFonts w:hint="default" w:eastAsiaTheme="minorEastAsia"/>
          <w:lang w:val="en-US" w:eastAsia="zh-CN"/>
        </w:rPr>
      </w:pPr>
      <w:r>
        <w:rPr>
          <w:rFonts w:hint="eastAsia"/>
          <w:lang w:eastAsia="zh-CN"/>
        </w:rPr>
        <w:t>选为</w:t>
      </w:r>
      <w:r>
        <w:rPr>
          <w:rFonts w:hint="eastAsia"/>
          <w:lang w:val="en-US" w:eastAsia="zh-CN"/>
        </w:rPr>
        <w:t>B级的理由</w:t>
      </w:r>
    </w:p>
  </w:comment>
  <w:comment w:id="3" w:author="liuning" w:date="2022-01-19T10:52:08Z" w:initials="">
    <w:p w14:paraId="3C576021">
      <w:pPr>
        <w:pStyle w:val="10"/>
        <w:rPr>
          <w:rFonts w:hint="eastAsia" w:eastAsiaTheme="minorEastAsia"/>
          <w:lang w:eastAsia="zh-CN"/>
        </w:rPr>
      </w:pPr>
      <w:r>
        <w:rPr>
          <w:rFonts w:hint="eastAsia"/>
          <w:lang w:eastAsia="zh-CN"/>
        </w:rPr>
        <w:t>同上</w:t>
      </w:r>
    </w:p>
  </w:comment>
  <w:comment w:id="4" w:author="liuning" w:date="2022-01-19T10:53:00Z" w:initials="">
    <w:p w14:paraId="6B80311E">
      <w:pPr>
        <w:pStyle w:val="10"/>
        <w:rPr>
          <w:rFonts w:hint="eastAsia" w:eastAsiaTheme="minorEastAsia"/>
          <w:lang w:eastAsia="zh-CN"/>
        </w:rPr>
      </w:pPr>
      <w:r>
        <w:rPr>
          <w:rFonts w:hint="eastAsia"/>
          <w:lang w:eastAsia="zh-CN"/>
        </w:rPr>
        <w:t>企业情况介绍</w:t>
      </w:r>
    </w:p>
  </w:comment>
  <w:comment w:id="5" w:author="liuning" w:date="2022-01-19T10:54:03Z" w:initials="">
    <w:p w14:paraId="73001366">
      <w:pPr>
        <w:pStyle w:val="10"/>
        <w:rPr>
          <w:rFonts w:hint="eastAsia" w:eastAsiaTheme="minorEastAsia"/>
          <w:lang w:eastAsia="zh-CN"/>
        </w:rPr>
      </w:pPr>
      <w:r>
        <w:rPr>
          <w:rFonts w:hint="eastAsia"/>
          <w:lang w:eastAsia="zh-CN"/>
        </w:rPr>
        <w:t>企业具体情况统计对照表</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commentEx w15:paraId="7F531BBE" w15:done="0"/>
  <w15:commentEx w15:paraId="5E631A59" w15:done="0"/>
  <w15:commentEx w15:paraId="0DBA5FA3" w15:done="0"/>
  <w15:commentEx w15:paraId="3C576021" w15:done="0"/>
  <w15:commentEx w15:paraId="6B80311E" w15:done="0"/>
  <w15:commentEx w15:paraId="73001366" w15:done="0"/>
</w15:commentsEx>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Light">
    <w:altName w:val="宋体"/>
    <w:panose1 w:val="02010600030101010101"/>
    <w:charset w:val="86"/>
    <w:family w:val="auto"/>
    <w:pitch w:val="default"/>
    <w:sig w:usb0="00000000" w:usb1="00000000" w:usb2="00000016" w:usb3="00000000" w:csb0="0004000F" w:csb1="00000000"/>
  </w:font>
  <w:font w:name="等线">
    <w:altName w:val="Arial Unicode MS"/>
    <w:panose1 w:val="02010600030101010101"/>
    <w:charset w:val="86"/>
    <w:family w:val="auto"/>
    <w:pitch w:val="default"/>
    <w:sig w:usb0="00000000" w:usb1="00000000" w:usb2="00000016" w:usb3="00000000" w:csb0="0004000F" w:csb1="00000000"/>
  </w:font>
  <w:font w:name="Arial Unicode MS">
    <w:panose1 w:val="020B0604020202020204"/>
    <w:charset w:val="86"/>
    <w:family w:val="auto"/>
    <w:pitch w:val="default"/>
    <w:sig w:usb0="FFFFFFFF" w:usb1="E9FFFFFF" w:usb2="0000003F" w:usb3="00000000" w:csb0="603F01FF" w:csb1="FFFF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Cambria Math">
    <w:panose1 w:val="02040503050406030204"/>
    <w:charset w:val="00"/>
    <w:family w:val="roman"/>
    <w:pitch w:val="default"/>
    <w:sig w:usb0="E00002FF" w:usb1="420024FF" w:usb2="00000000" w:usb3="00000000" w:csb0="2000019F" w:csb1="00000000"/>
  </w:font>
  <w:font w:name="等线">
    <w:altName w:val="Arial Unicode MS"/>
    <w:panose1 w:val="00000000000000000000"/>
    <w:charset w:val="00"/>
    <w:family w:val="auto"/>
    <w:pitch w:val="default"/>
    <w:sig w:usb0="00000000" w:usb1="00000000" w:usb2="00000000" w:usb3="00000000" w:csb0="00000000" w:csb1="00000000"/>
  </w:font>
  <w:font w:name="等线 Light">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0"/>
      <w:jc w:val="center"/>
      <w:rPr>
        <w:rFonts w:ascii="Times New Roman"/>
        <w:sz w:val="21"/>
        <w:szCs w:val="21"/>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0"/>
      <w:jc w:val="center"/>
      <w:rPr>
        <w:rFonts w:ascii="Times New Roman"/>
        <w:sz w:val="21"/>
        <w:szCs w:val="21"/>
      </w:rPr>
    </w:pPr>
    <w:r>
      <w:rPr>
        <w:rFonts w:ascii="Times New Roman"/>
        <w:sz w:val="21"/>
        <w:szCs w:val="21"/>
      </w:rPr>
      <w:fldChar w:fldCharType="begin"/>
    </w:r>
    <w:r>
      <w:rPr>
        <w:rFonts w:ascii="Times New Roman"/>
        <w:sz w:val="21"/>
        <w:szCs w:val="21"/>
      </w:rPr>
      <w:instrText xml:space="preserve"> PAGE  \* MERGEFORMAT </w:instrText>
    </w:r>
    <w:r>
      <w:rPr>
        <w:rFonts w:ascii="Times New Roman"/>
        <w:sz w:val="21"/>
        <w:szCs w:val="21"/>
      </w:rPr>
      <w:fldChar w:fldCharType="separate"/>
    </w:r>
    <w:r>
      <w:rPr>
        <w:rFonts w:ascii="Times New Roman"/>
        <w:sz w:val="21"/>
        <w:szCs w:val="21"/>
      </w:rPr>
      <w:t>i</w:t>
    </w:r>
    <w:r>
      <w:rPr>
        <w:rFonts w:ascii="Times New Roman"/>
        <w:sz w:val="21"/>
        <w:szCs w:val="21"/>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0"/>
      <w:jc w:val="center"/>
      <w:rPr>
        <w:rFonts w:ascii="Times New Roman"/>
        <w:sz w:val="21"/>
        <w:szCs w:val="21"/>
      </w:rPr>
    </w:pPr>
    <w:r>
      <w:rPr>
        <w:rFonts w:ascii="Times New Roman"/>
        <w:sz w:val="21"/>
        <w:szCs w:val="21"/>
      </w:rPr>
      <w:fldChar w:fldCharType="begin"/>
    </w:r>
    <w:r>
      <w:rPr>
        <w:rFonts w:ascii="Times New Roman"/>
        <w:sz w:val="21"/>
        <w:szCs w:val="21"/>
      </w:rPr>
      <w:instrText xml:space="preserve"> PAGE  \* MERGEFORMAT </w:instrText>
    </w:r>
    <w:r>
      <w:rPr>
        <w:rFonts w:ascii="Times New Roman"/>
        <w:sz w:val="21"/>
        <w:szCs w:val="21"/>
      </w:rPr>
      <w:fldChar w:fldCharType="separate"/>
    </w:r>
    <w:r>
      <w:rPr>
        <w:rFonts w:ascii="Times New Roman"/>
        <w:sz w:val="21"/>
        <w:szCs w:val="21"/>
      </w:rPr>
      <w:t>15</w:t>
    </w:r>
    <w:r>
      <w:rPr>
        <w:rFonts w:ascii="Times New Roman"/>
        <w:sz w:val="21"/>
        <w:szCs w:val="21"/>
      </w:rPr>
      <w:fldChar w:fldCharType="end"/>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9613203"/>
    <w:multiLevelType w:val="multilevel"/>
    <w:tmpl w:val="59613203"/>
    <w:lvl w:ilvl="0" w:tentative="0">
      <w:start w:val="1"/>
      <w:numFmt w:val="lowerLetter"/>
      <w:lvlText w:val="%1）"/>
      <w:lvlJc w:val="left"/>
      <w:pPr>
        <w:ind w:left="840" w:hanging="420"/>
      </w:pPr>
      <w:rPr>
        <w:rFonts w:hint="default"/>
      </w:rPr>
    </w:lvl>
    <w:lvl w:ilvl="1" w:tentative="0">
      <w:start w:val="1"/>
      <w:numFmt w:val="lowerLetter"/>
      <w:lvlText w:val="%2)"/>
      <w:lvlJc w:val="left"/>
      <w:pPr>
        <w:ind w:left="1260" w:hanging="420"/>
      </w:pPr>
      <w:rPr>
        <w:rFonts w:hint="default"/>
      </w:r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1">
    <w:nsid w:val="77E84BBB"/>
    <w:multiLevelType w:val="multilevel"/>
    <w:tmpl w:val="77E84BBB"/>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1"/>
  </w:num>
  <w:num w:numId="2">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liuning">
    <w15:presenceInfo w15:providerId="WPS Office" w15:userId="222174455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rsids>
    <w:rsidRoot w:val="009C30D0"/>
    <w:rsid w:val="000011B9"/>
    <w:rsid w:val="00027175"/>
    <w:rsid w:val="00046F34"/>
    <w:rsid w:val="000534B2"/>
    <w:rsid w:val="000620E9"/>
    <w:rsid w:val="000B629F"/>
    <w:rsid w:val="00104E4C"/>
    <w:rsid w:val="00106511"/>
    <w:rsid w:val="00113A15"/>
    <w:rsid w:val="001258F8"/>
    <w:rsid w:val="00141106"/>
    <w:rsid w:val="00141330"/>
    <w:rsid w:val="001535C7"/>
    <w:rsid w:val="001536B4"/>
    <w:rsid w:val="00153719"/>
    <w:rsid w:val="00161EF9"/>
    <w:rsid w:val="001709F3"/>
    <w:rsid w:val="00193108"/>
    <w:rsid w:val="0019738C"/>
    <w:rsid w:val="001B02EC"/>
    <w:rsid w:val="001B6084"/>
    <w:rsid w:val="001C0805"/>
    <w:rsid w:val="001C605F"/>
    <w:rsid w:val="001C74C3"/>
    <w:rsid w:val="001D1601"/>
    <w:rsid w:val="001E6DDC"/>
    <w:rsid w:val="00204196"/>
    <w:rsid w:val="0020485A"/>
    <w:rsid w:val="00210BFB"/>
    <w:rsid w:val="002155FC"/>
    <w:rsid w:val="0023377E"/>
    <w:rsid w:val="00240C53"/>
    <w:rsid w:val="00241ED5"/>
    <w:rsid w:val="00262C6F"/>
    <w:rsid w:val="00262F94"/>
    <w:rsid w:val="00270C18"/>
    <w:rsid w:val="002730AA"/>
    <w:rsid w:val="00276477"/>
    <w:rsid w:val="00291117"/>
    <w:rsid w:val="002A61AE"/>
    <w:rsid w:val="002B66A6"/>
    <w:rsid w:val="002B66A9"/>
    <w:rsid w:val="002B7644"/>
    <w:rsid w:val="002C467F"/>
    <w:rsid w:val="002C736F"/>
    <w:rsid w:val="002D00E8"/>
    <w:rsid w:val="002D6125"/>
    <w:rsid w:val="002F066E"/>
    <w:rsid w:val="0031716E"/>
    <w:rsid w:val="00321884"/>
    <w:rsid w:val="00323B33"/>
    <w:rsid w:val="00324257"/>
    <w:rsid w:val="00335153"/>
    <w:rsid w:val="00350768"/>
    <w:rsid w:val="003767D7"/>
    <w:rsid w:val="00390E1F"/>
    <w:rsid w:val="003A05BA"/>
    <w:rsid w:val="003C2DFE"/>
    <w:rsid w:val="003C3905"/>
    <w:rsid w:val="003D01C6"/>
    <w:rsid w:val="003D7E41"/>
    <w:rsid w:val="003E01E7"/>
    <w:rsid w:val="003E2A9B"/>
    <w:rsid w:val="003F562D"/>
    <w:rsid w:val="00413E41"/>
    <w:rsid w:val="00415C95"/>
    <w:rsid w:val="00437A58"/>
    <w:rsid w:val="004544F3"/>
    <w:rsid w:val="00465510"/>
    <w:rsid w:val="00474EAD"/>
    <w:rsid w:val="00477BFE"/>
    <w:rsid w:val="00484EFD"/>
    <w:rsid w:val="004943E5"/>
    <w:rsid w:val="00494B49"/>
    <w:rsid w:val="004A434D"/>
    <w:rsid w:val="004A66A5"/>
    <w:rsid w:val="004A72AD"/>
    <w:rsid w:val="004B06C8"/>
    <w:rsid w:val="004B77A4"/>
    <w:rsid w:val="004B7BFA"/>
    <w:rsid w:val="004C4C85"/>
    <w:rsid w:val="004E3BBA"/>
    <w:rsid w:val="004F3DA0"/>
    <w:rsid w:val="00503876"/>
    <w:rsid w:val="00506676"/>
    <w:rsid w:val="00546BC3"/>
    <w:rsid w:val="005540FE"/>
    <w:rsid w:val="005658F9"/>
    <w:rsid w:val="00566EF1"/>
    <w:rsid w:val="005A1F83"/>
    <w:rsid w:val="005C2C74"/>
    <w:rsid w:val="005D5C20"/>
    <w:rsid w:val="005E36C5"/>
    <w:rsid w:val="005F1D26"/>
    <w:rsid w:val="005F3266"/>
    <w:rsid w:val="006141D0"/>
    <w:rsid w:val="0061645B"/>
    <w:rsid w:val="00616C5C"/>
    <w:rsid w:val="00656E3F"/>
    <w:rsid w:val="006572C6"/>
    <w:rsid w:val="00666496"/>
    <w:rsid w:val="006842C1"/>
    <w:rsid w:val="006A4B2D"/>
    <w:rsid w:val="006B64B9"/>
    <w:rsid w:val="006C2330"/>
    <w:rsid w:val="006E60D5"/>
    <w:rsid w:val="006E706A"/>
    <w:rsid w:val="006F01A3"/>
    <w:rsid w:val="006F4855"/>
    <w:rsid w:val="00703333"/>
    <w:rsid w:val="00710353"/>
    <w:rsid w:val="00712C1F"/>
    <w:rsid w:val="007278C2"/>
    <w:rsid w:val="0073152A"/>
    <w:rsid w:val="0074266D"/>
    <w:rsid w:val="00747B44"/>
    <w:rsid w:val="00755AA0"/>
    <w:rsid w:val="00774F95"/>
    <w:rsid w:val="00782259"/>
    <w:rsid w:val="00784095"/>
    <w:rsid w:val="00796B91"/>
    <w:rsid w:val="007B7A14"/>
    <w:rsid w:val="007C0AC6"/>
    <w:rsid w:val="007C30D1"/>
    <w:rsid w:val="007D27AA"/>
    <w:rsid w:val="007E0484"/>
    <w:rsid w:val="007E4362"/>
    <w:rsid w:val="007E474B"/>
    <w:rsid w:val="007F3B58"/>
    <w:rsid w:val="00812E52"/>
    <w:rsid w:val="00815EED"/>
    <w:rsid w:val="0082095C"/>
    <w:rsid w:val="0083581F"/>
    <w:rsid w:val="0083677B"/>
    <w:rsid w:val="00867113"/>
    <w:rsid w:val="00870014"/>
    <w:rsid w:val="0088591C"/>
    <w:rsid w:val="008954B9"/>
    <w:rsid w:val="008A4236"/>
    <w:rsid w:val="008A52F4"/>
    <w:rsid w:val="008B19C7"/>
    <w:rsid w:val="008C19FB"/>
    <w:rsid w:val="008C2388"/>
    <w:rsid w:val="008E1358"/>
    <w:rsid w:val="008F390F"/>
    <w:rsid w:val="00906DF8"/>
    <w:rsid w:val="0091204A"/>
    <w:rsid w:val="00914222"/>
    <w:rsid w:val="009273F6"/>
    <w:rsid w:val="00931F8C"/>
    <w:rsid w:val="00970BD0"/>
    <w:rsid w:val="0097119A"/>
    <w:rsid w:val="00983A68"/>
    <w:rsid w:val="009A525D"/>
    <w:rsid w:val="009A746B"/>
    <w:rsid w:val="009B1A23"/>
    <w:rsid w:val="009C30D0"/>
    <w:rsid w:val="009C5D0C"/>
    <w:rsid w:val="009D5AD4"/>
    <w:rsid w:val="009E1523"/>
    <w:rsid w:val="009F1850"/>
    <w:rsid w:val="009F28BA"/>
    <w:rsid w:val="009F785E"/>
    <w:rsid w:val="00A0145D"/>
    <w:rsid w:val="00A260ED"/>
    <w:rsid w:val="00A72A0A"/>
    <w:rsid w:val="00A738AE"/>
    <w:rsid w:val="00A866BF"/>
    <w:rsid w:val="00AA016F"/>
    <w:rsid w:val="00AB2CD1"/>
    <w:rsid w:val="00AB735A"/>
    <w:rsid w:val="00AF3573"/>
    <w:rsid w:val="00B01B17"/>
    <w:rsid w:val="00B0367D"/>
    <w:rsid w:val="00B42107"/>
    <w:rsid w:val="00B4315C"/>
    <w:rsid w:val="00B43CE7"/>
    <w:rsid w:val="00B463F1"/>
    <w:rsid w:val="00B66EF3"/>
    <w:rsid w:val="00B84E63"/>
    <w:rsid w:val="00BA2421"/>
    <w:rsid w:val="00BC2CE2"/>
    <w:rsid w:val="00BE7019"/>
    <w:rsid w:val="00C10162"/>
    <w:rsid w:val="00C3390D"/>
    <w:rsid w:val="00C35809"/>
    <w:rsid w:val="00C37C6E"/>
    <w:rsid w:val="00C53088"/>
    <w:rsid w:val="00C6507E"/>
    <w:rsid w:val="00C7057B"/>
    <w:rsid w:val="00C83D52"/>
    <w:rsid w:val="00C9409B"/>
    <w:rsid w:val="00CA355A"/>
    <w:rsid w:val="00CA4F17"/>
    <w:rsid w:val="00CA7544"/>
    <w:rsid w:val="00CB246F"/>
    <w:rsid w:val="00CC0433"/>
    <w:rsid w:val="00CC50B3"/>
    <w:rsid w:val="00CD4B66"/>
    <w:rsid w:val="00CE2FBF"/>
    <w:rsid w:val="00CE66E2"/>
    <w:rsid w:val="00D03B3C"/>
    <w:rsid w:val="00D03BF8"/>
    <w:rsid w:val="00D133B3"/>
    <w:rsid w:val="00D25F66"/>
    <w:rsid w:val="00D26784"/>
    <w:rsid w:val="00D27F11"/>
    <w:rsid w:val="00D30402"/>
    <w:rsid w:val="00D3118F"/>
    <w:rsid w:val="00D31D1A"/>
    <w:rsid w:val="00D40A89"/>
    <w:rsid w:val="00D40AE4"/>
    <w:rsid w:val="00D4108E"/>
    <w:rsid w:val="00D4698F"/>
    <w:rsid w:val="00D66103"/>
    <w:rsid w:val="00D81B3E"/>
    <w:rsid w:val="00D849BD"/>
    <w:rsid w:val="00D87269"/>
    <w:rsid w:val="00DA09AF"/>
    <w:rsid w:val="00DA720E"/>
    <w:rsid w:val="00DC1348"/>
    <w:rsid w:val="00DC3603"/>
    <w:rsid w:val="00DC393A"/>
    <w:rsid w:val="00DC5379"/>
    <w:rsid w:val="00DD7BCC"/>
    <w:rsid w:val="00DD7C02"/>
    <w:rsid w:val="00DF118E"/>
    <w:rsid w:val="00E508B2"/>
    <w:rsid w:val="00E519A6"/>
    <w:rsid w:val="00E54254"/>
    <w:rsid w:val="00E630FD"/>
    <w:rsid w:val="00E64E2A"/>
    <w:rsid w:val="00E904E8"/>
    <w:rsid w:val="00EA542E"/>
    <w:rsid w:val="00EA693C"/>
    <w:rsid w:val="00EB4545"/>
    <w:rsid w:val="00ED704D"/>
    <w:rsid w:val="00F049E1"/>
    <w:rsid w:val="00F07C7B"/>
    <w:rsid w:val="00F212BD"/>
    <w:rsid w:val="00F24AFC"/>
    <w:rsid w:val="00F32A18"/>
    <w:rsid w:val="00F35A4D"/>
    <w:rsid w:val="00F37ADF"/>
    <w:rsid w:val="00F51D9A"/>
    <w:rsid w:val="00F62B61"/>
    <w:rsid w:val="00F704BB"/>
    <w:rsid w:val="00F80AE0"/>
    <w:rsid w:val="00F92177"/>
    <w:rsid w:val="00FC19F2"/>
    <w:rsid w:val="00FC2ACF"/>
    <w:rsid w:val="00FD7B7C"/>
    <w:rsid w:val="00FE2D41"/>
    <w:rsid w:val="00FE5F61"/>
    <w:rsid w:val="03F65254"/>
    <w:rsid w:val="04B213C1"/>
    <w:rsid w:val="051D5D31"/>
    <w:rsid w:val="0C5B7264"/>
    <w:rsid w:val="0D5B0AB3"/>
    <w:rsid w:val="137A6CB0"/>
    <w:rsid w:val="13CF690E"/>
    <w:rsid w:val="179A3448"/>
    <w:rsid w:val="17CD1C16"/>
    <w:rsid w:val="1B261D69"/>
    <w:rsid w:val="1BD35FF7"/>
    <w:rsid w:val="2A375D41"/>
    <w:rsid w:val="2B89307D"/>
    <w:rsid w:val="2FA12CF7"/>
    <w:rsid w:val="36F079A3"/>
    <w:rsid w:val="37062B1B"/>
    <w:rsid w:val="3D015D3A"/>
    <w:rsid w:val="3D2802C1"/>
    <w:rsid w:val="3E5D7BEC"/>
    <w:rsid w:val="41393CF5"/>
    <w:rsid w:val="44EE641E"/>
    <w:rsid w:val="481E59F2"/>
    <w:rsid w:val="49047ECE"/>
    <w:rsid w:val="497F6993"/>
    <w:rsid w:val="4A443E36"/>
    <w:rsid w:val="4A8E63F2"/>
    <w:rsid w:val="4F576D80"/>
    <w:rsid w:val="520420FD"/>
    <w:rsid w:val="5765363E"/>
    <w:rsid w:val="5DD961EC"/>
    <w:rsid w:val="5F480F17"/>
    <w:rsid w:val="63A979C1"/>
    <w:rsid w:val="645B3DFE"/>
    <w:rsid w:val="6B7632CC"/>
    <w:rsid w:val="6E455F22"/>
    <w:rsid w:val="77177AE1"/>
    <w:rsid w:val="7AF10BC1"/>
    <w:rsid w:val="7F20382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39" w:semiHidden="0" w:name="toc 1"/>
    <w:lsdException w:qFormat="1" w:unhideWhenUsed="0" w:uiPriority="39" w:semiHidden="0" w:name="toc 2"/>
    <w:lsdException w:qFormat="1" w:uiPriority="39" w:semiHidden="0" w:name="toc 3"/>
    <w:lsdException w:uiPriority="39" w:semiHidden="0" w:name="toc 4"/>
    <w:lsdException w:qFormat="1" w:uiPriority="39" w:semiHidden="0" w:name="toc 5"/>
    <w:lsdException w:uiPriority="39" w:semiHidden="0" w:name="toc 6"/>
    <w:lsdException w:qFormat="1" w:uiPriority="39" w:semiHidden="0" w:name="toc 7"/>
    <w:lsdException w:qFormat="1" w:uiPriority="39" w:semiHidden="0" w:name="toc 8"/>
    <w:lsdException w:uiPriority="39" w:semiHidden="0" w:name="toc 9"/>
    <w:lsdException w:qFormat="1" w:unhideWhenUsed="0" w:uiPriority="0" w:semiHidden="0" w:name="Normal Indent"/>
    <w:lsdException w:uiPriority="99" w:name="footnote text"/>
    <w:lsdException w:qFormat="1" w:uiPriority="99" w:name="annotation text"/>
    <w:lsdException w:qFormat="1" w:unhideWhenUsed="0" w:uiPriority="0"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uiPriority="99" w:name="FollowedHyperlink"/>
    <w:lsdException w:qFormat="1" w:unhideWhenUsed="0" w:uiPriority="22" w:semiHidden="0" w:name="Strong"/>
    <w:lsdException w:qFormat="1" w:unhideWhenUsed="0" w:uiPriority="20" w:semiHidden="0" w:name="Emphasis"/>
    <w:lsdException w:qFormat="1"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iPriority="99" w:semiHidden="0"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link w:val="44"/>
    <w:qFormat/>
    <w:uiPriority w:val="9"/>
    <w:pPr>
      <w:keepNext/>
      <w:keepLines/>
      <w:spacing w:before="340" w:after="330" w:line="578" w:lineRule="auto"/>
      <w:outlineLvl w:val="0"/>
    </w:pPr>
    <w:rPr>
      <w:b/>
      <w:bCs/>
      <w:kern w:val="44"/>
      <w:sz w:val="44"/>
      <w:szCs w:val="44"/>
    </w:rPr>
  </w:style>
  <w:style w:type="paragraph" w:styleId="4">
    <w:name w:val="heading 2"/>
    <w:basedOn w:val="1"/>
    <w:next w:val="1"/>
    <w:link w:val="45"/>
    <w:semiHidden/>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paragraph" w:styleId="5">
    <w:name w:val="heading 3"/>
    <w:basedOn w:val="1"/>
    <w:next w:val="1"/>
    <w:link w:val="50"/>
    <w:unhideWhenUsed/>
    <w:qFormat/>
    <w:uiPriority w:val="9"/>
    <w:pPr>
      <w:keepNext/>
      <w:keepLines/>
      <w:spacing w:before="260" w:after="260" w:line="416" w:lineRule="auto"/>
      <w:outlineLvl w:val="2"/>
    </w:pPr>
    <w:rPr>
      <w:b/>
      <w:bCs/>
      <w:sz w:val="32"/>
      <w:szCs w:val="32"/>
    </w:rPr>
  </w:style>
  <w:style w:type="paragraph" w:styleId="6">
    <w:name w:val="heading 4"/>
    <w:basedOn w:val="1"/>
    <w:next w:val="1"/>
    <w:link w:val="51"/>
    <w:semiHidden/>
    <w:unhideWhenUsed/>
    <w:qFormat/>
    <w:uiPriority w:val="9"/>
    <w:pPr>
      <w:keepNext/>
      <w:keepLines/>
      <w:spacing w:before="280" w:after="290" w:line="376" w:lineRule="auto"/>
      <w:outlineLvl w:val="3"/>
    </w:pPr>
    <w:rPr>
      <w:rFonts w:asciiTheme="majorHAnsi" w:hAnsiTheme="majorHAnsi" w:eastAsiaTheme="majorEastAsia" w:cstheme="majorBidi"/>
      <w:b/>
      <w:bCs/>
      <w:sz w:val="28"/>
      <w:szCs w:val="28"/>
    </w:rPr>
  </w:style>
  <w:style w:type="character" w:default="1" w:styleId="29">
    <w:name w:val="Default Paragraph Font"/>
    <w:semiHidden/>
    <w:unhideWhenUsed/>
    <w:qFormat/>
    <w:uiPriority w:val="1"/>
  </w:style>
  <w:style w:type="table" w:default="1" w:styleId="27">
    <w:name w:val="Normal Table"/>
    <w:semiHidden/>
    <w:unhideWhenUsed/>
    <w:qFormat/>
    <w:uiPriority w:val="99"/>
    <w:tblPr>
      <w:tblCellMar>
        <w:top w:w="0" w:type="dxa"/>
        <w:left w:w="108" w:type="dxa"/>
        <w:bottom w:w="0" w:type="dxa"/>
        <w:right w:w="108" w:type="dxa"/>
      </w:tblCellMar>
    </w:tblPr>
  </w:style>
  <w:style w:type="paragraph" w:styleId="2">
    <w:name w:val="Title"/>
    <w:basedOn w:val="1"/>
    <w:qFormat/>
    <w:uiPriority w:val="10"/>
    <w:pPr>
      <w:spacing w:before="240" w:after="60"/>
      <w:jc w:val="center"/>
      <w:outlineLvl w:val="0"/>
    </w:pPr>
    <w:rPr>
      <w:rFonts w:ascii="Arial" w:hAnsi="Arial"/>
      <w:b/>
      <w:sz w:val="32"/>
    </w:rPr>
  </w:style>
  <w:style w:type="paragraph" w:styleId="7">
    <w:name w:val="toc 7"/>
    <w:basedOn w:val="1"/>
    <w:next w:val="1"/>
    <w:unhideWhenUsed/>
    <w:qFormat/>
    <w:uiPriority w:val="39"/>
    <w:pPr>
      <w:ind w:left="2520" w:leftChars="1200"/>
    </w:pPr>
    <w:rPr>
      <w:rFonts w:asciiTheme="minorHAnsi" w:hAnsiTheme="minorHAnsi" w:eastAsiaTheme="minorEastAsia" w:cstheme="minorBidi"/>
      <w:szCs w:val="22"/>
    </w:rPr>
  </w:style>
  <w:style w:type="paragraph" w:styleId="8">
    <w:name w:val="Normal Indent"/>
    <w:basedOn w:val="1"/>
    <w:qFormat/>
    <w:uiPriority w:val="0"/>
    <w:pPr>
      <w:ind w:firstLine="420" w:firstLineChars="200"/>
    </w:pPr>
    <w:rPr>
      <w:rFonts w:ascii="Calibri" w:hAnsi="Calibri" w:eastAsia="仿宋"/>
      <w:sz w:val="30"/>
      <w:szCs w:val="22"/>
    </w:rPr>
  </w:style>
  <w:style w:type="paragraph" w:styleId="9">
    <w:name w:val="Document Map"/>
    <w:basedOn w:val="1"/>
    <w:link w:val="63"/>
    <w:semiHidden/>
    <w:unhideWhenUsed/>
    <w:qFormat/>
    <w:uiPriority w:val="99"/>
    <w:rPr>
      <w:rFonts w:ascii="宋体"/>
      <w:sz w:val="18"/>
      <w:szCs w:val="18"/>
    </w:rPr>
  </w:style>
  <w:style w:type="paragraph" w:styleId="10">
    <w:name w:val="annotation text"/>
    <w:basedOn w:val="1"/>
    <w:link w:val="54"/>
    <w:semiHidden/>
    <w:unhideWhenUsed/>
    <w:qFormat/>
    <w:uiPriority w:val="99"/>
    <w:pPr>
      <w:jc w:val="left"/>
    </w:pPr>
    <w:rPr>
      <w:rFonts w:asciiTheme="minorHAnsi" w:hAnsiTheme="minorHAnsi" w:eastAsiaTheme="minorEastAsia" w:cstheme="minorBidi"/>
      <w:szCs w:val="22"/>
    </w:rPr>
  </w:style>
  <w:style w:type="paragraph" w:styleId="11">
    <w:name w:val="toc 5"/>
    <w:basedOn w:val="1"/>
    <w:next w:val="1"/>
    <w:unhideWhenUsed/>
    <w:qFormat/>
    <w:uiPriority w:val="39"/>
    <w:pPr>
      <w:ind w:left="1680" w:leftChars="800"/>
    </w:pPr>
    <w:rPr>
      <w:rFonts w:asciiTheme="minorHAnsi" w:hAnsiTheme="minorHAnsi" w:eastAsiaTheme="minorEastAsia" w:cstheme="minorBidi"/>
      <w:szCs w:val="22"/>
    </w:rPr>
  </w:style>
  <w:style w:type="paragraph" w:styleId="12">
    <w:name w:val="toc 3"/>
    <w:basedOn w:val="1"/>
    <w:next w:val="1"/>
    <w:unhideWhenUsed/>
    <w:qFormat/>
    <w:uiPriority w:val="39"/>
    <w:pPr>
      <w:tabs>
        <w:tab w:val="right" w:leader="dot" w:pos="8296"/>
      </w:tabs>
      <w:ind w:left="630" w:leftChars="300"/>
    </w:pPr>
  </w:style>
  <w:style w:type="paragraph" w:styleId="13">
    <w:name w:val="toc 8"/>
    <w:basedOn w:val="1"/>
    <w:next w:val="1"/>
    <w:unhideWhenUsed/>
    <w:qFormat/>
    <w:uiPriority w:val="39"/>
    <w:pPr>
      <w:ind w:left="2940" w:leftChars="1400"/>
    </w:pPr>
    <w:rPr>
      <w:rFonts w:asciiTheme="minorHAnsi" w:hAnsiTheme="minorHAnsi" w:eastAsiaTheme="minorEastAsia" w:cstheme="minorBidi"/>
      <w:szCs w:val="22"/>
    </w:rPr>
  </w:style>
  <w:style w:type="paragraph" w:styleId="14">
    <w:name w:val="Date"/>
    <w:basedOn w:val="1"/>
    <w:next w:val="1"/>
    <w:link w:val="59"/>
    <w:semiHidden/>
    <w:unhideWhenUsed/>
    <w:uiPriority w:val="99"/>
    <w:pPr>
      <w:ind w:left="100" w:leftChars="2500"/>
    </w:pPr>
    <w:rPr>
      <w:rFonts w:asciiTheme="minorHAnsi" w:hAnsiTheme="minorHAnsi" w:eastAsiaTheme="minorEastAsia" w:cstheme="minorBidi"/>
      <w:szCs w:val="22"/>
    </w:rPr>
  </w:style>
  <w:style w:type="paragraph" w:styleId="15">
    <w:name w:val="endnote text"/>
    <w:basedOn w:val="1"/>
    <w:link w:val="64"/>
    <w:semiHidden/>
    <w:unhideWhenUsed/>
    <w:uiPriority w:val="99"/>
    <w:pPr>
      <w:snapToGrid w:val="0"/>
      <w:jc w:val="left"/>
    </w:pPr>
  </w:style>
  <w:style w:type="paragraph" w:styleId="16">
    <w:name w:val="Balloon Text"/>
    <w:basedOn w:val="1"/>
    <w:link w:val="61"/>
    <w:semiHidden/>
    <w:unhideWhenUsed/>
    <w:uiPriority w:val="99"/>
    <w:rPr>
      <w:sz w:val="18"/>
      <w:szCs w:val="18"/>
    </w:rPr>
  </w:style>
  <w:style w:type="paragraph" w:styleId="17">
    <w:name w:val="footer"/>
    <w:basedOn w:val="1"/>
    <w:link w:val="53"/>
    <w:unhideWhenUsed/>
    <w:uiPriority w:val="99"/>
    <w:pPr>
      <w:tabs>
        <w:tab w:val="center" w:pos="4153"/>
        <w:tab w:val="right" w:pos="8306"/>
      </w:tabs>
      <w:snapToGrid w:val="0"/>
      <w:jc w:val="left"/>
    </w:pPr>
    <w:rPr>
      <w:sz w:val="18"/>
      <w:szCs w:val="18"/>
    </w:rPr>
  </w:style>
  <w:style w:type="paragraph" w:styleId="18">
    <w:name w:val="header"/>
    <w:basedOn w:val="1"/>
    <w:link w:val="35"/>
    <w:qFormat/>
    <w:uiPriority w:val="0"/>
    <w:pPr>
      <w:snapToGrid w:val="0"/>
      <w:jc w:val="left"/>
    </w:pPr>
    <w:rPr>
      <w:sz w:val="18"/>
      <w:szCs w:val="18"/>
    </w:rPr>
  </w:style>
  <w:style w:type="paragraph" w:styleId="19">
    <w:name w:val="toc 1"/>
    <w:basedOn w:val="1"/>
    <w:next w:val="1"/>
    <w:uiPriority w:val="39"/>
    <w:pPr>
      <w:tabs>
        <w:tab w:val="right" w:leader="dot" w:pos="9241"/>
      </w:tabs>
      <w:spacing w:beforeLines="25" w:afterLines="25"/>
      <w:jc w:val="left"/>
    </w:pPr>
    <w:rPr>
      <w:rFonts w:ascii="宋体"/>
      <w:szCs w:val="21"/>
    </w:rPr>
  </w:style>
  <w:style w:type="paragraph" w:styleId="20">
    <w:name w:val="toc 4"/>
    <w:basedOn w:val="1"/>
    <w:next w:val="1"/>
    <w:unhideWhenUsed/>
    <w:uiPriority w:val="39"/>
    <w:pPr>
      <w:ind w:left="1260" w:leftChars="600"/>
    </w:pPr>
  </w:style>
  <w:style w:type="paragraph" w:styleId="21">
    <w:name w:val="toc 6"/>
    <w:basedOn w:val="1"/>
    <w:next w:val="1"/>
    <w:unhideWhenUsed/>
    <w:uiPriority w:val="39"/>
    <w:pPr>
      <w:ind w:left="2100" w:leftChars="1000"/>
    </w:pPr>
    <w:rPr>
      <w:rFonts w:asciiTheme="minorHAnsi" w:hAnsiTheme="minorHAnsi" w:eastAsiaTheme="minorEastAsia" w:cstheme="minorBidi"/>
      <w:szCs w:val="22"/>
    </w:rPr>
  </w:style>
  <w:style w:type="paragraph" w:styleId="22">
    <w:name w:val="toc 2"/>
    <w:basedOn w:val="1"/>
    <w:next w:val="1"/>
    <w:qFormat/>
    <w:uiPriority w:val="39"/>
    <w:pPr>
      <w:tabs>
        <w:tab w:val="right" w:leader="dot" w:pos="9241"/>
      </w:tabs>
    </w:pPr>
    <w:rPr>
      <w:rFonts w:ascii="宋体"/>
      <w:szCs w:val="21"/>
    </w:rPr>
  </w:style>
  <w:style w:type="paragraph" w:styleId="23">
    <w:name w:val="toc 9"/>
    <w:basedOn w:val="1"/>
    <w:next w:val="1"/>
    <w:unhideWhenUsed/>
    <w:uiPriority w:val="39"/>
    <w:pPr>
      <w:ind w:left="3360" w:leftChars="1600"/>
    </w:pPr>
    <w:rPr>
      <w:rFonts w:asciiTheme="minorHAnsi" w:hAnsiTheme="minorHAnsi" w:eastAsiaTheme="minorEastAsia" w:cstheme="minorBidi"/>
      <w:szCs w:val="22"/>
    </w:rPr>
  </w:style>
  <w:style w:type="paragraph" w:styleId="24">
    <w:name w:val="HTML Preformatted"/>
    <w:basedOn w:val="1"/>
    <w:link w:val="37"/>
    <w:unhideWhenUsed/>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cs="宋体"/>
      <w:kern w:val="0"/>
      <w:sz w:val="24"/>
    </w:rPr>
  </w:style>
  <w:style w:type="paragraph" w:styleId="25">
    <w:name w:val="Normal (Web)"/>
    <w:basedOn w:val="1"/>
    <w:qFormat/>
    <w:uiPriority w:val="0"/>
    <w:pPr>
      <w:spacing w:beforeAutospacing="1" w:afterAutospacing="1"/>
      <w:jc w:val="left"/>
    </w:pPr>
    <w:rPr>
      <w:kern w:val="0"/>
      <w:sz w:val="24"/>
    </w:rPr>
  </w:style>
  <w:style w:type="paragraph" w:styleId="26">
    <w:name w:val="annotation subject"/>
    <w:basedOn w:val="10"/>
    <w:next w:val="10"/>
    <w:link w:val="57"/>
    <w:semiHidden/>
    <w:unhideWhenUsed/>
    <w:uiPriority w:val="99"/>
    <w:rPr>
      <w:b/>
      <w:bCs/>
    </w:rPr>
  </w:style>
  <w:style w:type="table" w:styleId="28">
    <w:name w:val="Table Grid"/>
    <w:basedOn w:val="27"/>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30">
    <w:name w:val="Strong"/>
    <w:basedOn w:val="29"/>
    <w:qFormat/>
    <w:uiPriority w:val="22"/>
    <w:rPr>
      <w:b/>
      <w:bCs/>
    </w:rPr>
  </w:style>
  <w:style w:type="character" w:styleId="31">
    <w:name w:val="endnote reference"/>
    <w:basedOn w:val="29"/>
    <w:semiHidden/>
    <w:unhideWhenUsed/>
    <w:uiPriority w:val="99"/>
    <w:rPr>
      <w:vertAlign w:val="superscript"/>
    </w:rPr>
  </w:style>
  <w:style w:type="character" w:styleId="32">
    <w:name w:val="FollowedHyperlink"/>
    <w:basedOn w:val="29"/>
    <w:semiHidden/>
    <w:unhideWhenUsed/>
    <w:uiPriority w:val="99"/>
    <w:rPr>
      <w:color w:val="954F72" w:themeColor="followedHyperlink"/>
      <w:u w:val="single"/>
    </w:rPr>
  </w:style>
  <w:style w:type="character" w:styleId="33">
    <w:name w:val="Hyperlink"/>
    <w:qFormat/>
    <w:uiPriority w:val="99"/>
    <w:rPr>
      <w:color w:val="0000FF"/>
      <w:spacing w:val="0"/>
      <w:w w:val="100"/>
      <w:szCs w:val="21"/>
      <w:u w:val="single"/>
      <w:lang w:val="en-US" w:eastAsia="zh-CN"/>
    </w:rPr>
  </w:style>
  <w:style w:type="character" w:styleId="34">
    <w:name w:val="annotation reference"/>
    <w:basedOn w:val="29"/>
    <w:semiHidden/>
    <w:unhideWhenUsed/>
    <w:qFormat/>
    <w:uiPriority w:val="99"/>
    <w:rPr>
      <w:sz w:val="21"/>
      <w:szCs w:val="21"/>
    </w:rPr>
  </w:style>
  <w:style w:type="character" w:customStyle="1" w:styleId="35">
    <w:name w:val="页眉 字符"/>
    <w:basedOn w:val="29"/>
    <w:link w:val="18"/>
    <w:qFormat/>
    <w:uiPriority w:val="0"/>
    <w:rPr>
      <w:rFonts w:ascii="Times New Roman" w:hAnsi="Times New Roman" w:eastAsia="宋体" w:cs="Times New Roman"/>
      <w:sz w:val="18"/>
      <w:szCs w:val="18"/>
    </w:rPr>
  </w:style>
  <w:style w:type="paragraph" w:customStyle="1" w:styleId="36">
    <w:name w:val="段"/>
    <w:link w:val="38"/>
    <w:qFormat/>
    <w:uiPriority w:val="99"/>
    <w:pPr>
      <w:tabs>
        <w:tab w:val="center" w:pos="4201"/>
        <w:tab w:val="right" w:leader="dot" w:pos="9298"/>
      </w:tabs>
      <w:autoSpaceDE w:val="0"/>
      <w:autoSpaceDN w:val="0"/>
      <w:ind w:firstLine="420" w:firstLineChars="200"/>
      <w:jc w:val="both"/>
    </w:pPr>
    <w:rPr>
      <w:rFonts w:ascii="宋体" w:hAnsi="Times New Roman" w:eastAsia="宋体" w:cs="Times New Roman"/>
      <w:sz w:val="21"/>
      <w:lang w:val="en-US" w:eastAsia="zh-CN" w:bidi="ar-SA"/>
    </w:rPr>
  </w:style>
  <w:style w:type="character" w:customStyle="1" w:styleId="37">
    <w:name w:val="HTML 预设格式 字符"/>
    <w:basedOn w:val="29"/>
    <w:link w:val="24"/>
    <w:qFormat/>
    <w:uiPriority w:val="99"/>
    <w:rPr>
      <w:rFonts w:ascii="宋体" w:hAnsi="宋体" w:eastAsia="宋体" w:cs="宋体"/>
      <w:kern w:val="0"/>
      <w:sz w:val="24"/>
      <w:szCs w:val="24"/>
    </w:rPr>
  </w:style>
  <w:style w:type="character" w:customStyle="1" w:styleId="38">
    <w:name w:val="段 Char"/>
    <w:link w:val="36"/>
    <w:qFormat/>
    <w:uiPriority w:val="0"/>
    <w:rPr>
      <w:rFonts w:ascii="宋体" w:hAnsi="Times New Roman" w:eastAsia="宋体" w:cs="Times New Roman"/>
      <w:kern w:val="0"/>
      <w:szCs w:val="20"/>
    </w:rPr>
  </w:style>
  <w:style w:type="paragraph" w:customStyle="1" w:styleId="39">
    <w:name w:val="样式1"/>
    <w:basedOn w:val="3"/>
    <w:qFormat/>
    <w:uiPriority w:val="0"/>
    <w:pPr>
      <w:spacing w:beforeLines="50" w:afterLines="50" w:line="288" w:lineRule="auto"/>
    </w:pPr>
    <w:rPr>
      <w:sz w:val="24"/>
    </w:rPr>
  </w:style>
  <w:style w:type="paragraph" w:customStyle="1" w:styleId="40">
    <w:name w:val="标准书脚_奇数页"/>
    <w:qFormat/>
    <w:uiPriority w:val="0"/>
    <w:pPr>
      <w:spacing w:before="120"/>
      <w:ind w:right="198"/>
      <w:jc w:val="right"/>
    </w:pPr>
    <w:rPr>
      <w:rFonts w:ascii="宋体" w:hAnsi="Times New Roman" w:eastAsia="宋体" w:cs="Times New Roman"/>
      <w:sz w:val="18"/>
      <w:szCs w:val="18"/>
      <w:lang w:val="en-US" w:eastAsia="zh-CN" w:bidi="ar-SA"/>
    </w:rPr>
  </w:style>
  <w:style w:type="paragraph" w:customStyle="1" w:styleId="41">
    <w:name w:val="样式2"/>
    <w:basedOn w:val="4"/>
    <w:link w:val="48"/>
    <w:qFormat/>
    <w:uiPriority w:val="0"/>
    <w:pPr>
      <w:spacing w:beforeLines="50" w:afterLines="50" w:line="288" w:lineRule="auto"/>
    </w:pPr>
    <w:rPr>
      <w:rFonts w:eastAsia="宋体"/>
      <w:sz w:val="21"/>
    </w:rPr>
  </w:style>
  <w:style w:type="paragraph" w:customStyle="1" w:styleId="42">
    <w:name w:val="大标题"/>
    <w:basedOn w:val="1"/>
    <w:qFormat/>
    <w:uiPriority w:val="99"/>
    <w:pPr>
      <w:tabs>
        <w:tab w:val="left" w:pos="5220"/>
      </w:tabs>
      <w:adjustRightInd w:val="0"/>
      <w:snapToGrid w:val="0"/>
      <w:spacing w:beforeLines="200" w:afterLines="200"/>
      <w:jc w:val="center"/>
      <w:textAlignment w:val="center"/>
    </w:pPr>
    <w:rPr>
      <w:rFonts w:ascii="Arial" w:hAnsi="Arial" w:eastAsia="黑体"/>
      <w:sz w:val="32"/>
      <w:szCs w:val="20"/>
    </w:rPr>
  </w:style>
  <w:style w:type="paragraph" w:customStyle="1" w:styleId="43">
    <w:name w:val="Default"/>
    <w:qFormat/>
    <w:uiPriority w:val="0"/>
    <w:pPr>
      <w:widowControl w:val="0"/>
      <w:autoSpaceDE w:val="0"/>
      <w:autoSpaceDN w:val="0"/>
      <w:adjustRightInd w:val="0"/>
    </w:pPr>
    <w:rPr>
      <w:rFonts w:ascii="黑体" w:eastAsia="黑体" w:cs="黑体" w:hAnsiTheme="minorHAnsi"/>
      <w:color w:val="000000"/>
      <w:sz w:val="24"/>
      <w:szCs w:val="24"/>
      <w:lang w:val="en-US" w:eastAsia="zh-CN" w:bidi="ar-SA"/>
    </w:rPr>
  </w:style>
  <w:style w:type="character" w:customStyle="1" w:styleId="44">
    <w:name w:val="标题 1 字符"/>
    <w:basedOn w:val="29"/>
    <w:link w:val="3"/>
    <w:qFormat/>
    <w:uiPriority w:val="9"/>
    <w:rPr>
      <w:rFonts w:ascii="Times New Roman" w:hAnsi="Times New Roman" w:eastAsia="宋体" w:cs="Times New Roman"/>
      <w:b/>
      <w:bCs/>
      <w:kern w:val="44"/>
      <w:sz w:val="44"/>
      <w:szCs w:val="44"/>
    </w:rPr>
  </w:style>
  <w:style w:type="character" w:customStyle="1" w:styleId="45">
    <w:name w:val="标题 2 字符"/>
    <w:basedOn w:val="29"/>
    <w:link w:val="4"/>
    <w:semiHidden/>
    <w:qFormat/>
    <w:uiPriority w:val="9"/>
    <w:rPr>
      <w:rFonts w:asciiTheme="majorHAnsi" w:hAnsiTheme="majorHAnsi" w:eastAsiaTheme="majorEastAsia" w:cstheme="majorBidi"/>
      <w:b/>
      <w:bCs/>
      <w:sz w:val="32"/>
      <w:szCs w:val="32"/>
    </w:rPr>
  </w:style>
  <w:style w:type="paragraph" w:customStyle="1" w:styleId="46">
    <w:name w:val="样式3"/>
    <w:basedOn w:val="5"/>
    <w:next w:val="1"/>
    <w:link w:val="49"/>
    <w:qFormat/>
    <w:uiPriority w:val="0"/>
    <w:pPr>
      <w:spacing w:before="100" w:beforeAutospacing="1" w:after="100" w:afterAutospacing="1" w:line="415" w:lineRule="auto"/>
    </w:pPr>
    <w:rPr>
      <w:rFonts w:cstheme="minorBidi"/>
      <w:sz w:val="23"/>
      <w:szCs w:val="23"/>
    </w:rPr>
  </w:style>
  <w:style w:type="paragraph" w:customStyle="1" w:styleId="47">
    <w:name w:val="样式4"/>
    <w:basedOn w:val="6"/>
    <w:link w:val="52"/>
    <w:qFormat/>
    <w:uiPriority w:val="0"/>
    <w:pPr>
      <w:keepNext w:val="0"/>
      <w:spacing w:before="100" w:beforeAutospacing="1" w:after="100" w:afterAutospacing="1" w:line="360" w:lineRule="auto"/>
    </w:pPr>
    <w:rPr>
      <w:rFonts w:eastAsia="宋体"/>
      <w:sz w:val="23"/>
    </w:rPr>
  </w:style>
  <w:style w:type="character" w:customStyle="1" w:styleId="48">
    <w:name w:val="样式2 字符"/>
    <w:basedOn w:val="45"/>
    <w:link w:val="41"/>
    <w:uiPriority w:val="0"/>
    <w:rPr>
      <w:rFonts w:eastAsia="宋体" w:asciiTheme="majorHAnsi" w:hAnsiTheme="majorHAnsi" w:cstheme="majorBidi"/>
      <w:sz w:val="32"/>
      <w:szCs w:val="32"/>
    </w:rPr>
  </w:style>
  <w:style w:type="character" w:customStyle="1" w:styleId="49">
    <w:name w:val="样式3 字符"/>
    <w:basedOn w:val="48"/>
    <w:link w:val="46"/>
    <w:qFormat/>
    <w:uiPriority w:val="0"/>
    <w:rPr>
      <w:rFonts w:ascii="Times New Roman" w:hAnsi="Times New Roman" w:eastAsia="宋体" w:cstheme="majorBidi"/>
      <w:sz w:val="23"/>
      <w:szCs w:val="23"/>
    </w:rPr>
  </w:style>
  <w:style w:type="character" w:customStyle="1" w:styleId="50">
    <w:name w:val="标题 3 字符"/>
    <w:basedOn w:val="29"/>
    <w:link w:val="5"/>
    <w:qFormat/>
    <w:uiPriority w:val="9"/>
    <w:rPr>
      <w:rFonts w:ascii="Times New Roman" w:hAnsi="Times New Roman" w:eastAsia="宋体" w:cs="Times New Roman"/>
      <w:b/>
      <w:bCs/>
      <w:sz w:val="32"/>
      <w:szCs w:val="32"/>
    </w:rPr>
  </w:style>
  <w:style w:type="character" w:customStyle="1" w:styleId="51">
    <w:name w:val="标题 4 字符"/>
    <w:basedOn w:val="29"/>
    <w:link w:val="6"/>
    <w:semiHidden/>
    <w:qFormat/>
    <w:uiPriority w:val="9"/>
    <w:rPr>
      <w:rFonts w:asciiTheme="majorHAnsi" w:hAnsiTheme="majorHAnsi" w:eastAsiaTheme="majorEastAsia" w:cstheme="majorBidi"/>
      <w:b/>
      <w:bCs/>
      <w:sz w:val="28"/>
      <w:szCs w:val="28"/>
    </w:rPr>
  </w:style>
  <w:style w:type="character" w:customStyle="1" w:styleId="52">
    <w:name w:val="样式4 字符"/>
    <w:basedOn w:val="51"/>
    <w:link w:val="47"/>
    <w:qFormat/>
    <w:uiPriority w:val="0"/>
    <w:rPr>
      <w:rFonts w:eastAsia="宋体" w:asciiTheme="majorHAnsi" w:hAnsiTheme="majorHAnsi" w:cstheme="majorBidi"/>
      <w:sz w:val="23"/>
      <w:szCs w:val="28"/>
    </w:rPr>
  </w:style>
  <w:style w:type="character" w:customStyle="1" w:styleId="53">
    <w:name w:val="页脚 字符"/>
    <w:basedOn w:val="29"/>
    <w:link w:val="17"/>
    <w:qFormat/>
    <w:uiPriority w:val="99"/>
    <w:rPr>
      <w:rFonts w:ascii="Times New Roman" w:hAnsi="Times New Roman" w:eastAsia="宋体" w:cs="Times New Roman"/>
      <w:sz w:val="18"/>
      <w:szCs w:val="18"/>
    </w:rPr>
  </w:style>
  <w:style w:type="character" w:customStyle="1" w:styleId="54">
    <w:name w:val="批注文字 字符"/>
    <w:basedOn w:val="29"/>
    <w:link w:val="10"/>
    <w:semiHidden/>
    <w:qFormat/>
    <w:uiPriority w:val="99"/>
  </w:style>
  <w:style w:type="paragraph" w:customStyle="1" w:styleId="55">
    <w:name w:val="二级条标题"/>
    <w:basedOn w:val="1"/>
    <w:next w:val="1"/>
    <w:qFormat/>
    <w:uiPriority w:val="0"/>
    <w:pPr>
      <w:widowControl/>
      <w:spacing w:beforeLines="50"/>
      <w:jc w:val="left"/>
      <w:outlineLvl w:val="3"/>
    </w:pPr>
    <w:rPr>
      <w:rFonts w:ascii="黑体" w:eastAsia="黑体"/>
      <w:kern w:val="0"/>
      <w:szCs w:val="21"/>
    </w:rPr>
  </w:style>
  <w:style w:type="paragraph" w:styleId="56">
    <w:name w:val="List Paragraph"/>
    <w:basedOn w:val="1"/>
    <w:qFormat/>
    <w:uiPriority w:val="34"/>
    <w:pPr>
      <w:ind w:firstLine="420" w:firstLineChars="200"/>
    </w:pPr>
  </w:style>
  <w:style w:type="character" w:customStyle="1" w:styleId="57">
    <w:name w:val="批注主题 字符"/>
    <w:basedOn w:val="54"/>
    <w:link w:val="26"/>
    <w:semiHidden/>
    <w:qFormat/>
    <w:uiPriority w:val="99"/>
    <w:rPr>
      <w:b/>
      <w:bCs/>
    </w:rPr>
  </w:style>
  <w:style w:type="paragraph" w:customStyle="1" w:styleId="58">
    <w:name w:val="标准表题"/>
    <w:basedOn w:val="1"/>
    <w:next w:val="36"/>
    <w:qFormat/>
    <w:uiPriority w:val="0"/>
    <w:pPr>
      <w:widowControl/>
      <w:jc w:val="center"/>
    </w:pPr>
    <w:rPr>
      <w:rFonts w:ascii="黑体" w:eastAsia="黑体"/>
      <w:kern w:val="21"/>
      <w:szCs w:val="20"/>
    </w:rPr>
  </w:style>
  <w:style w:type="character" w:customStyle="1" w:styleId="59">
    <w:name w:val="日期 字符"/>
    <w:basedOn w:val="29"/>
    <w:link w:val="14"/>
    <w:semiHidden/>
    <w:qFormat/>
    <w:uiPriority w:val="99"/>
  </w:style>
  <w:style w:type="paragraph" w:customStyle="1" w:styleId="60">
    <w:name w:val="TOC 标题1"/>
    <w:basedOn w:val="3"/>
    <w:next w:val="1"/>
    <w:unhideWhenUsed/>
    <w:qFormat/>
    <w:uiPriority w:val="39"/>
    <w:pPr>
      <w:widowControl/>
      <w:spacing w:before="240" w:after="0" w:line="259" w:lineRule="auto"/>
      <w:jc w:val="left"/>
      <w:outlineLvl w:val="9"/>
    </w:pPr>
    <w:rPr>
      <w:rFonts w:asciiTheme="majorHAnsi" w:hAnsiTheme="majorHAnsi" w:eastAsiaTheme="majorEastAsia" w:cstheme="majorBidi"/>
      <w:b w:val="0"/>
      <w:bCs w:val="0"/>
      <w:color w:val="2E75B5" w:themeColor="accent1" w:themeShade="BF"/>
      <w:kern w:val="0"/>
      <w:sz w:val="32"/>
      <w:szCs w:val="32"/>
    </w:rPr>
  </w:style>
  <w:style w:type="character" w:customStyle="1" w:styleId="61">
    <w:name w:val="批注框文本 字符"/>
    <w:basedOn w:val="29"/>
    <w:link w:val="16"/>
    <w:semiHidden/>
    <w:uiPriority w:val="99"/>
    <w:rPr>
      <w:rFonts w:ascii="Times New Roman" w:hAnsi="Times New Roman" w:eastAsia="宋体" w:cs="Times New Roman"/>
      <w:sz w:val="18"/>
      <w:szCs w:val="18"/>
    </w:rPr>
  </w:style>
  <w:style w:type="character" w:customStyle="1" w:styleId="62">
    <w:name w:val="段 Char Char"/>
    <w:locked/>
    <w:uiPriority w:val="99"/>
    <w:rPr>
      <w:rFonts w:ascii="宋体" w:hAnsi="Calibri" w:cs="宋体"/>
      <w:szCs w:val="21"/>
    </w:rPr>
  </w:style>
  <w:style w:type="character" w:customStyle="1" w:styleId="63">
    <w:name w:val="文档结构图 字符"/>
    <w:basedOn w:val="29"/>
    <w:link w:val="9"/>
    <w:semiHidden/>
    <w:uiPriority w:val="99"/>
    <w:rPr>
      <w:rFonts w:ascii="宋体" w:hAnsi="Times New Roman" w:eastAsia="宋体" w:cs="Times New Roman"/>
      <w:sz w:val="18"/>
      <w:szCs w:val="18"/>
    </w:rPr>
  </w:style>
  <w:style w:type="character" w:customStyle="1" w:styleId="64">
    <w:name w:val="尾注文本 字符"/>
    <w:basedOn w:val="29"/>
    <w:link w:val="15"/>
    <w:semiHidden/>
    <w:uiPriority w:val="99"/>
    <w:rPr>
      <w:rFonts w:ascii="Times New Roman" w:hAnsi="Times New Roman"/>
      <w:kern w:val="2"/>
      <w:sz w:val="21"/>
      <w:szCs w:val="24"/>
    </w:rPr>
  </w:style>
</w:styles>
</file>

<file path=word/_rels/document.xml.rels><?xml version="1.0" encoding="UTF-8" standalone="yes"?>
<Relationships xmlns="http://schemas.openxmlformats.org/package/2006/relationships"><Relationship Id="rId9" Type="http://schemas.openxmlformats.org/officeDocument/2006/relationships/footer" Target="footer3.xml"/><Relationship Id="rId8" Type="http://schemas.openxmlformats.org/officeDocument/2006/relationships/footer" Target="footer2.xml"/><Relationship Id="rId7" Type="http://schemas.openxmlformats.org/officeDocument/2006/relationships/footer" Target="footer1.xml"/><Relationship Id="rId6" Type="http://schemas.openxmlformats.org/officeDocument/2006/relationships/header" Target="header2.xml"/><Relationship Id="rId5" Type="http://schemas.openxmlformats.org/officeDocument/2006/relationships/header" Target="header1.xml"/><Relationship Id="rId4" Type="http://schemas.microsoft.com/office/2011/relationships/commentsExtended" Target="commentsExtended.xml"/><Relationship Id="rId3" Type="http://schemas.openxmlformats.org/officeDocument/2006/relationships/comments" Target="comments.xml"/><Relationship Id="rId2" Type="http://schemas.openxmlformats.org/officeDocument/2006/relationships/settings" Target="settings.xml"/><Relationship Id="rId15" Type="http://schemas.microsoft.com/office/2011/relationships/people" Target="people.xml"/><Relationship Id="rId14" Type="http://schemas.openxmlformats.org/officeDocument/2006/relationships/fontTable" Target="fontTable.xml"/><Relationship Id="rId13" Type="http://schemas.openxmlformats.org/officeDocument/2006/relationships/customXml" Target="../customXml/item2.xml"/><Relationship Id="rId12" Type="http://schemas.openxmlformats.org/officeDocument/2006/relationships/numbering" Target="numbering.xml"/><Relationship Id="rId11" Type="http://schemas.openxmlformats.org/officeDocument/2006/relationships/customXml" Target="../customXml/item1.xml"/><Relationship Id="rId10" Type="http://schemas.openxmlformats.org/officeDocument/2006/relationships/theme" Target="theme/theme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7D6B9F10-CE55-49FA-86AE-63F7585BC75D}">
  <ds:schemaRefs/>
</ds:datastoreItem>
</file>

<file path=docProps/app.xml><?xml version="1.0" encoding="utf-8"?>
<Properties xmlns="http://schemas.openxmlformats.org/officeDocument/2006/extended-properties" xmlns:vt="http://schemas.openxmlformats.org/officeDocument/2006/docPropsVTypes">
  <Template>Normal.dotm</Template>
  <Pages>25</Pages>
  <Words>3470</Words>
  <Characters>19779</Characters>
  <Lines>164</Lines>
  <Paragraphs>46</Paragraphs>
  <TotalTime>10</TotalTime>
  <ScaleCrop>false</ScaleCrop>
  <LinksUpToDate>false</LinksUpToDate>
  <CharactersWithSpaces>23203</CharactersWithSpaces>
  <Application>WPS Office_11.1.0.11115_F1E327BC-269C-435d-A152-05C5408002CA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2020-08-11T02:54:00Z</dcterms:created>
  <dc:creator>Hu Zhiying</dc:creator>
  <cp:lastModifiedBy>liuning</cp:lastModifiedBy>
  <cp:lastPrinted>2020-08-12T02:51:00Z</cp:lastPrinted>
  <dcterms:modified xsi:type="dcterms:W3CDTF">2022-01-19T02:54:58Z</dcterms:modified>
  <cp:revision>47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2052-11.1.0.11115</vt:lpwstr>
  </property>
  <property fmtid="{D5CDD505-2E9C-101B-9397-08002B2CF9AE}" pid="3" name="ICV">
    <vt:lpwstr>74911B96A1884DC9A4494462BD5F8F3B</vt:lpwstr>
  </property>
</Properties>
</file>