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149"/>
        <w:gridCol w:w="2451"/>
        <w:gridCol w:w="1613"/>
        <w:gridCol w:w="16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项目登记号</w:t>
            </w:r>
          </w:p>
        </w:tc>
        <w:tc>
          <w:tcPr>
            <w:tcW w:w="11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项目序号</w:t>
            </w:r>
          </w:p>
        </w:tc>
        <w:tc>
          <w:tcPr>
            <w:tcW w:w="169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华文中宋" w:cs="Times New Roman"/>
          <w:b/>
          <w:sz w:val="48"/>
          <w:szCs w:val="48"/>
        </w:rPr>
      </w:pPr>
    </w:p>
    <w:p>
      <w:pPr>
        <w:pStyle w:val="7"/>
        <w:spacing w:line="48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第二批国家级职业教育</w:t>
      </w:r>
    </w:p>
    <w:p>
      <w:pPr>
        <w:pStyle w:val="7"/>
        <w:spacing w:line="48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教师教学创新团队培训</w:t>
      </w:r>
      <w:r>
        <w:rPr>
          <w:rFonts w:hint="eastAsia" w:ascii="Times New Roman" w:hAnsi="Times New Roman" w:eastAsia="方正小标宋简体"/>
          <w:sz w:val="44"/>
          <w:szCs w:val="44"/>
        </w:rPr>
        <w:t>基地</w:t>
      </w:r>
    </w:p>
    <w:p>
      <w:pPr>
        <w:pStyle w:val="7"/>
        <w:spacing w:line="360" w:lineRule="atLeast"/>
        <w:jc w:val="center"/>
        <w:rPr>
          <w:rFonts w:hint="eastAsia" w:ascii="Times New Roman" w:hAnsi="Times New Roman" w:eastAsia="方正小标宋简体"/>
          <w:sz w:val="52"/>
          <w:szCs w:val="52"/>
          <w:lang w:eastAsia="zh-CN"/>
        </w:rPr>
      </w:pPr>
      <w:r>
        <w:rPr>
          <w:rFonts w:ascii="Times New Roman" w:hAnsi="Times New Roman" w:eastAsia="方正小标宋简体"/>
          <w:sz w:val="52"/>
          <w:szCs w:val="52"/>
        </w:rPr>
        <w:t>申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报  表</w:t>
      </w:r>
      <w:bookmarkEnd w:id="0"/>
    </w:p>
    <w:p>
      <w:pPr>
        <w:rPr>
          <w:rFonts w:ascii="Times New Roman" w:hAnsi="Times New Roman" w:eastAsia="宋体-18030" w:cs="Times New Roman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distribute"/>
              <w:rPr>
                <w:rFonts w:hint="default" w:ascii="仿宋_GB2312" w:eastAsia="仿宋_GB2312"/>
                <w:color w:val="auto"/>
                <w:sz w:val="32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2"/>
                <w:sz w:val="32"/>
                <w:szCs w:val="32"/>
              </w:rPr>
              <w:t>申报单位</w:t>
            </w: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（公章）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distribute"/>
              <w:rPr>
                <w:rFonts w:hint="default" w:ascii="Times New Roman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  <w:lang w:val="en-US" w:eastAsia="zh-CN"/>
              </w:rPr>
              <w:t>单位类别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distribute"/>
              <w:rPr>
                <w:rFonts w:hint="default" w:ascii="Times New Roman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  <w:lang w:val="en-US" w:eastAsia="zh-CN"/>
              </w:rPr>
              <w:t>单位层次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distribute"/>
              <w:rPr>
                <w:rFonts w:hint="default" w:ascii="仿宋_GB2312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  <w:lang w:val="en-US" w:eastAsia="zh-CN"/>
              </w:rPr>
              <w:t>申报专业方向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distribute"/>
              <w:rPr>
                <w:rFonts w:hint="eastAsia" w:ascii="仿宋" w:eastAsia="仿宋"/>
                <w:color w:val="auto"/>
                <w:sz w:val="32"/>
              </w:rPr>
            </w:pPr>
            <w:r>
              <w:rPr>
                <w:rFonts w:ascii="Times New Roman" w:hAnsi="Times New Roman" w:eastAsia="仿宋_GB2312"/>
                <w:kern w:val="2"/>
                <w:sz w:val="32"/>
                <w:szCs w:val="32"/>
              </w:rPr>
              <w:t>项目负责人</w:t>
            </w:r>
            <w:r>
              <w:rPr>
                <w:rFonts w:hint="eastAsia" w:ascii="仿宋" w:eastAsia="仿宋"/>
                <w:color w:val="auto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0" w:firstLineChars="0"/>
              <w:jc w:val="center"/>
              <w:rPr>
                <w:rFonts w:hint="default" w:ascii="楷体_GB2312" w:eastAsia="楷体_GB2312"/>
                <w:b/>
                <w:color w:val="auto"/>
                <w:sz w:val="32"/>
                <w:lang w:val="en-US" w:eastAsia="zh-CN"/>
              </w:rPr>
            </w:pPr>
          </w:p>
        </w:tc>
      </w:tr>
    </w:tbl>
    <w:p>
      <w:pPr>
        <w:pStyle w:val="3"/>
        <w:rPr>
          <w:rFonts w:ascii="Times New Roman" w:hAnsi="Times New Roma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教育部教师工作司制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</w:p>
    <w:p>
      <w:pPr>
        <w:spacing w:beforeLines="0" w:afterLines="0" w:line="400" w:lineRule="exact"/>
        <w:ind w:firstLine="0" w:firstLineChars="0"/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填  写  说  明</w:t>
      </w:r>
    </w:p>
    <w:p>
      <w:pPr>
        <w:spacing w:beforeLines="0" w:afterLines="0" w:line="400" w:lineRule="exact"/>
        <w:ind w:firstLine="0" w:firstLineChars="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1.本表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如实填写，报送1份原件。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申报表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请用A3纸双面印制、中缝装订。封面上方“项目登记号”及“项目序号”申请人不填写。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2.单位类别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填写“全国重点建设职业教育师资培养培训基地”“职业院校教师素质提高计划优质省级基地”或“其他”。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3.单位层次。填写“普通本科”“职教本科”“高职”等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4.专业方向。根据《第二批国家级职业教育教师教学创新团队国内培训安排表》中“专业方向”栏填写。例如“现代物流与供应链”“高端装备（一）”。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项目负责人：为项目实际负责人，只填写一人。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联系电话。应填写手机号码和座机号码。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7.部门及职务。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行政职务：按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校长、副校长、二级学院院长、副院长、职能处室处长等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填写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，没有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行政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职务填“无”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.申报者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须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自留本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申报表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复印件，结项时必须提交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申报表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.所有表格均可以同样格式扩展。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page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00" w:firstLineChars="200"/>
        <w:jc w:val="both"/>
        <w:textAlignment w:val="auto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一、基本情况表</w:t>
      </w:r>
    </w:p>
    <w:tbl>
      <w:tblPr>
        <w:tblStyle w:val="5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104"/>
        <w:gridCol w:w="1152"/>
        <w:gridCol w:w="73"/>
        <w:gridCol w:w="435"/>
        <w:gridCol w:w="1129"/>
        <w:gridCol w:w="546"/>
        <w:gridCol w:w="611"/>
        <w:gridCol w:w="1020"/>
        <w:gridCol w:w="50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申报单位</w:t>
            </w:r>
          </w:p>
        </w:tc>
        <w:tc>
          <w:tcPr>
            <w:tcW w:w="71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项目实施部门</w:t>
            </w:r>
          </w:p>
        </w:tc>
        <w:tc>
          <w:tcPr>
            <w:tcW w:w="71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项目负责人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部门及行政职务</w:t>
            </w:r>
          </w:p>
        </w:tc>
        <w:tc>
          <w:tcPr>
            <w:tcW w:w="49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部门及行政职务</w:t>
            </w:r>
          </w:p>
        </w:tc>
        <w:tc>
          <w:tcPr>
            <w:tcW w:w="49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71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合作单位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分类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49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合作科研院所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49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合作企业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49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批准成为全国职教师资培训基地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优质省级基地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49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有无申报领域职教师资培养办学经验</w:t>
            </w:r>
          </w:p>
        </w:tc>
        <w:tc>
          <w:tcPr>
            <w:tcW w:w="49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7年－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申报专业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方向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职业教育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教师培训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经验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培训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年份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培训时长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人员名单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首席专家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情况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职称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/职务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174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从学术水平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、管理水平、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培训经验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、在全国的影响力等方面概述首席专家情况。（500字以内）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拟投入培训师资情况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授课模块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教育办学及研究情况</w:t>
            </w:r>
          </w:p>
        </w:tc>
        <w:tc>
          <w:tcPr>
            <w:tcW w:w="7174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概述本单位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职业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教育办学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、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研究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、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培训经验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，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以及省级以上专业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方向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或职业教育领域研究成果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。（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申报专业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方向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基本情况</w:t>
            </w:r>
          </w:p>
        </w:tc>
        <w:tc>
          <w:tcPr>
            <w:tcW w:w="71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从实训条件、师资队伍、教学教研科研水平、重点实验室、校企合作情况等方面概述申报的专业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方向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在国内同行中的地位、优势、特色。（1000字以内）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培训基础条件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概述单位占地及建筑面积、运动场馆、图书资料、多媒体教室、餐厅、社会服务能力等基本情况。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主要合作单位介绍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（科研院所、企业）</w:t>
            </w:r>
          </w:p>
        </w:tc>
        <w:tc>
          <w:tcPr>
            <w:tcW w:w="71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从合作单位基本情况、优势特色、经验成果等方面，概述相关情况。（1000字以内）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atLeas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atLeas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二、实施方案</w:t>
      </w:r>
    </w:p>
    <w:tbl>
      <w:tblPr>
        <w:tblStyle w:val="4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16"/>
        <w:gridCol w:w="2820"/>
        <w:gridCol w:w="157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473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需求分析</w:t>
            </w:r>
          </w:p>
        </w:tc>
        <w:tc>
          <w:tcPr>
            <w:tcW w:w="7189" w:type="dxa"/>
            <w:gridSpan w:val="4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围绕</w:t>
            </w:r>
            <w:r>
              <w:rPr>
                <w:rFonts w:asciiTheme="minorEastAsia" w:hAnsiTheme="minorEastAsia"/>
                <w:sz w:val="24"/>
                <w:szCs w:val="24"/>
              </w:rPr>
              <w:t>团队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《全国职业院校教师教学创新团队建设方案》明确的团队建设目标、任务、要求，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对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本专业方向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相关团队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进行调研分析，掌握培训需求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（1000字以内）</w:t>
            </w:r>
          </w:p>
          <w:p>
            <w:pPr>
              <w:spacing w:before="48" w:after="48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48" w:after="48"/>
              <w:rPr>
                <w:sz w:val="24"/>
                <w:szCs w:val="24"/>
              </w:rPr>
            </w:pPr>
          </w:p>
          <w:p>
            <w:pPr>
              <w:spacing w:before="48" w:after="4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473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目标定位</w:t>
            </w:r>
          </w:p>
        </w:tc>
        <w:tc>
          <w:tcPr>
            <w:tcW w:w="7189" w:type="dxa"/>
            <w:gridSpan w:val="4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对照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第二批国家级职业教育教师教学创新团队培训方案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》</w:t>
            </w:r>
            <w:r>
              <w:rPr>
                <w:rFonts w:asciiTheme="minorEastAsia" w:hAnsiTheme="minorEastAsia"/>
                <w:sz w:val="24"/>
                <w:szCs w:val="24"/>
              </w:rPr>
              <w:t>，阐述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本项目能够</w:t>
            </w:r>
            <w:r>
              <w:rPr>
                <w:rFonts w:asciiTheme="minorEastAsia" w:hAnsiTheme="minorEastAsia"/>
                <w:sz w:val="24"/>
                <w:szCs w:val="24"/>
              </w:rPr>
              <w:t>达到的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总体目标和年度（阶段）</w:t>
            </w:r>
            <w:r>
              <w:rPr>
                <w:rFonts w:asciiTheme="minorEastAsia" w:hAnsiTheme="minorEastAsia"/>
                <w:sz w:val="24"/>
                <w:szCs w:val="24"/>
              </w:rPr>
              <w:t>具体目标。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sz w:val="24"/>
                <w:szCs w:val="24"/>
              </w:rPr>
              <w:t>0字以内）</w:t>
            </w:r>
          </w:p>
          <w:p>
            <w:pPr>
              <w:spacing w:before="48" w:after="48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48" w:after="48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48" w:after="4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项目整体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规划设计</w:t>
            </w:r>
          </w:p>
        </w:tc>
        <w:tc>
          <w:tcPr>
            <w:tcW w:w="7189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团队培训基地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sz w:val="24"/>
                <w:szCs w:val="24"/>
              </w:rPr>
              <w:t>以组织培训的方式，为团队建设提供伴随式、全程式帮带指导，并参与团队评估验收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对照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第二批国家级职业教育教师教学创新团队培训方案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，阐述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整体规划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包括培训内容设计、采用的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培训模式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首年度工作（培训）计划</w:t>
            </w:r>
          </w:p>
        </w:tc>
        <w:tc>
          <w:tcPr>
            <w:tcW w:w="7189" w:type="dxa"/>
            <w:gridSpan w:val="4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根据项目整体规划设计，对照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第二批国家级职业教育教师教学创新团队培训方案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按照团队3年建设周期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制定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基地第一年度工作（培训）</w:t>
            </w:r>
            <w:r>
              <w:rPr>
                <w:rFonts w:asciiTheme="minorEastAsia" w:hAnsiTheme="minorEastAsia"/>
                <w:sz w:val="24"/>
                <w:szCs w:val="24"/>
              </w:rPr>
              <w:t>方案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专家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结构</w:t>
            </w:r>
          </w:p>
        </w:tc>
        <w:tc>
          <w:tcPr>
            <w:tcW w:w="7189" w:type="dxa"/>
            <w:gridSpan w:val="4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简要介绍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专家团队构成，包括职称结构、专兼职比例、任务分工等。</w:t>
            </w:r>
            <w:r>
              <w:rPr>
                <w:rFonts w:hint="eastAsia" w:ascii="宋体" w:hAnsi="宋体"/>
                <w:sz w:val="24"/>
                <w:szCs w:val="24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首年度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培训课程</w:t>
            </w:r>
          </w:p>
        </w:tc>
        <w:tc>
          <w:tcPr>
            <w:tcW w:w="1416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授课模块</w:t>
            </w:r>
          </w:p>
        </w:tc>
        <w:tc>
          <w:tcPr>
            <w:tcW w:w="2820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1572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授课模式</w:t>
            </w:r>
          </w:p>
        </w:tc>
        <w:tc>
          <w:tcPr>
            <w:tcW w:w="1381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讲授人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before="48" w:after="48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……</w:t>
            </w:r>
          </w:p>
        </w:tc>
        <w:tc>
          <w:tcPr>
            <w:tcW w:w="2820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实践内容</w:t>
            </w:r>
          </w:p>
        </w:tc>
        <w:tc>
          <w:tcPr>
            <w:tcW w:w="7189" w:type="dxa"/>
            <w:gridSpan w:val="4"/>
          </w:tcPr>
          <w:p>
            <w:pPr>
              <w:snapToGrid w:val="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阐述</w:t>
            </w:r>
            <w:r>
              <w:rPr>
                <w:rFonts w:hint="eastAsia" w:ascii="宋体" w:hAnsi="宋体"/>
                <w:sz w:val="24"/>
                <w:szCs w:val="24"/>
              </w:rPr>
              <w:t>合作企业支撑参训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宋体" w:hAnsi="宋体"/>
                <w:sz w:val="24"/>
                <w:szCs w:val="24"/>
              </w:rPr>
              <w:t>教师企业顶岗实践和专业技能训练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等内容</w:t>
            </w:r>
            <w:r>
              <w:rPr>
                <w:rFonts w:hint="eastAsia" w:ascii="宋体" w:hAnsi="宋体"/>
                <w:sz w:val="24"/>
                <w:szCs w:val="24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教学管理</w:t>
            </w:r>
          </w:p>
        </w:tc>
        <w:tc>
          <w:tcPr>
            <w:tcW w:w="7189" w:type="dxa"/>
            <w:gridSpan w:val="4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学员管理</w:t>
            </w:r>
          </w:p>
        </w:tc>
        <w:tc>
          <w:tcPr>
            <w:tcW w:w="7189" w:type="dxa"/>
            <w:gridSpan w:val="4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考核评价</w:t>
            </w:r>
          </w:p>
        </w:tc>
        <w:tc>
          <w:tcPr>
            <w:tcW w:w="7189" w:type="dxa"/>
            <w:gridSpan w:val="4"/>
          </w:tcPr>
          <w:p>
            <w:pPr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（1000字以内）</w:t>
            </w:r>
          </w:p>
        </w:tc>
      </w:tr>
    </w:tbl>
    <w:p>
      <w:pP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三、经费预算</w:t>
      </w:r>
    </w:p>
    <w:tbl>
      <w:tblPr>
        <w:tblStyle w:val="5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16"/>
        <w:gridCol w:w="1700"/>
        <w:gridCol w:w="202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培训费预算明细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分项支出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可承担培训人数/班次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价格/支出标准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支出计划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食宿费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师资费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交通费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培训场地及设备费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培训资料费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其他费用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绩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效指标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质量指标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指标1：培训总体参训率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>≥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指标2：培训总体结业率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480" w:firstLine="0" w:firstLineChars="0"/>
              <w:jc w:val="both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>≥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指标1：完成培训人数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480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指标1：培训完成时间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成本指标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成本控制指标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指标1：成本控制率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满意度指标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参训者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满意度指标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指标1：参训者满意度指标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>≥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%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</w:rPr>
        <w:t>、申报单位意见</w:t>
      </w:r>
    </w:p>
    <w:tbl>
      <w:tblPr>
        <w:tblStyle w:val="4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464" w:type="dxa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合作单位审核意见</w:t>
            </w:r>
          </w:p>
        </w:tc>
        <w:tc>
          <w:tcPr>
            <w:tcW w:w="7264" w:type="dxa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 位 盖 章</w:t>
            </w:r>
          </w:p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1464" w:type="dxa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合作单位审核意见</w:t>
            </w:r>
          </w:p>
        </w:tc>
        <w:tc>
          <w:tcPr>
            <w:tcW w:w="7264" w:type="dxa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 位 盖 章</w:t>
            </w:r>
          </w:p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464" w:type="dxa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合作单位审核意见</w:t>
            </w:r>
          </w:p>
        </w:tc>
        <w:tc>
          <w:tcPr>
            <w:tcW w:w="7264" w:type="dxa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 位 盖 章</w:t>
            </w:r>
          </w:p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46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申报单位意见</w:t>
            </w:r>
          </w:p>
        </w:tc>
        <w:tc>
          <w:tcPr>
            <w:tcW w:w="7264" w:type="dxa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校领导签字：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 位 盖 章</w:t>
            </w:r>
          </w:p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E52AE"/>
    <w:rsid w:val="75FE5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78" w:lineRule="exact"/>
      <w:ind w:firstLine="720" w:firstLineChars="200"/>
      <w:jc w:val="left"/>
      <w:outlineLvl w:val="1"/>
    </w:pPr>
    <w:rPr>
      <w:rFonts w:ascii="Cambria" w:hAnsi="Cambria" w:eastAsia="黑体" w:cs="Cambria"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1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1677</Words>
  <Characters>1738</Characters>
  <Lines>0</Lines>
  <Paragraphs>0</Paragraphs>
  <TotalTime>0</TotalTime>
  <ScaleCrop>false</ScaleCrop>
  <LinksUpToDate>false</LinksUpToDate>
  <CharactersWithSpaces>1972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2022-04-06T03:13:00Z</dcterms:created>
  <dc:creator>lenovo</dc:creator>
  <cp:lastModifiedBy>lenovo</cp:lastModifiedBy>
  <dcterms:modified xsi:type="dcterms:W3CDTF">2022-04-06T03:14:07Z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969F2C84DC604AAEABB09329E8891045</vt:lpwstr>
  </property>
</Properties>
</file>