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附件1</w:t>
      </w:r>
    </w:p>
    <w:p>
      <w:pPr>
        <w:pStyle w:val="6"/>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2022年“职教国培”示范项目设置计划表</w:t>
      </w:r>
    </w:p>
    <w:tbl>
      <w:tblPr>
        <w:tblStyle w:val="4"/>
        <w:tblW w:w="141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7"/>
        <w:gridCol w:w="700"/>
        <w:gridCol w:w="2224"/>
        <w:gridCol w:w="2470"/>
        <w:gridCol w:w="6481"/>
        <w:gridCol w:w="96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序号</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项目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子项目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培训对象</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具体要求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学时</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一</w:t>
            </w:r>
          </w:p>
        </w:tc>
        <w:tc>
          <w:tcPr>
            <w:tcW w:w="134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培训团队研修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0" w:hRule="atLeast"/>
          <w:jc w:val="center"/>
        </w:trPr>
        <w:tc>
          <w:tcPr>
            <w:tcW w:w="657"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培训管理者研修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培训管理者高级研修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各省（区、市）教育部门职业院校教师培训工作负责人，示范项目承担机构和全国职教教师培训基地负责人</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院校教师培训的课程开发与设计、培训课程实施、重难点突破等进行授课、研讨。4.围绕教师培训、基地建设等开展研修，打造校企合作双师型教师培养培训基地。5.采取专家授课、交流研讨、观摩考察、项目实践、案例分享等多种方式展开培训，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jc w:val="center"/>
        </w:trPr>
        <w:tc>
          <w:tcPr>
            <w:tcW w:w="657"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教师发展中心负责人研修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中职、高职学校教师发展中心负责人和学校分管领导</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院校教师发展中心功能定位、作用发挥、内涵发展、校本研修模式等规范建设，以及培训课程开发与设计、培训课程实施、重难点突破等进行授课、研讨。4.应采取线上线下、专家授课、交流研讨、观摩考察、项目实践、案例分享等多种方式展开培训，确保培训任务如期高质量完成。5.统筹安排返岗实践与指导，明确学员结业的具体任务或成果要求。</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公共基础课培训者团队研修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中职学校语文课教师培训者团队研修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职教国培中职语文课教师示范培训项目承担机构的负责人、骨干培训者，各省承担中职语文课教师培训任务的骨干培训者</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语文统编教材编写思路、课程内容、教学标准方法和教育教学能力等，开展教师培训者研修。4.培训方式应灵活多样，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中职学校历史课教师培训者团队研修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职教国培中职历史课教师示范培训项目承担机构的负责人、骨干培训者，各省承担中职语文课教师培训任务的骨干培训者</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历史统编教材编写思路、课程内容、教学标准方法和教育教学能力等，开展教师培训者研修。4.培训方式应灵活多样，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中职思想政治课教师培训者团队研修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职教国培中职思想政治课教师示范培训项目承担机构的负责人、骨干培训者，各省承担中职语文课教师培训任务的骨干培训者</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在中职三科统编教材完成编审后，围绕中职思想政治统编教材编写思路、课程内容、教学标准方法和教育教学能力等，开展教师培训者研修。4.培训方式应灵活多样，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专业课培训者团队研修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高职学校专业课培训者团队研修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职教国培专业骨干教师示范培训项目承担机构的负责人、骨干培训者，各省承担专业课教师培训任务的骨干培训者</w:t>
            </w:r>
          </w:p>
        </w:tc>
        <w:tc>
          <w:tcPr>
            <w:tcW w:w="6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高职专业课教师培训的课程开发与设计、培训课程实施、重难点突破等进行授课、研讨。4.应采取线上线下、专家授课、交流研讨、观摩考察、项目实践、案例分享等多种方式展开培训，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60学时/10天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二</w:t>
            </w:r>
          </w:p>
        </w:tc>
        <w:tc>
          <w:tcPr>
            <w:tcW w:w="134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教师培训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eastAsia" w:eastAsia="宋体" w:cs="Times New Roman"/>
                <w:i w:val="0"/>
                <w:iCs w:val="0"/>
                <w:color w:val="auto"/>
                <w:kern w:val="0"/>
                <w:sz w:val="20"/>
                <w:szCs w:val="20"/>
                <w:u w:val="none"/>
                <w:lang w:val="en-US" w:eastAsia="zh-CN" w:bidi="ar"/>
              </w:rPr>
              <w:t>专业</w:t>
            </w:r>
            <w:r>
              <w:rPr>
                <w:rFonts w:hint="default" w:ascii="Times New Roman" w:hAnsi="Times New Roman" w:eastAsia="宋体" w:cs="Times New Roman"/>
                <w:i w:val="0"/>
                <w:iCs w:val="0"/>
                <w:color w:val="auto"/>
                <w:kern w:val="0"/>
                <w:sz w:val="20"/>
                <w:szCs w:val="20"/>
                <w:u w:val="none"/>
                <w:lang w:val="en-US" w:eastAsia="zh-CN" w:bidi="ar"/>
              </w:rPr>
              <w:t>领军教师高级研修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高职学校</w:t>
            </w:r>
            <w:r>
              <w:rPr>
                <w:rFonts w:hint="eastAsia" w:eastAsia="宋体" w:cs="Times New Roman"/>
                <w:i w:val="0"/>
                <w:iCs w:val="0"/>
                <w:color w:val="auto"/>
                <w:kern w:val="0"/>
                <w:sz w:val="20"/>
                <w:szCs w:val="20"/>
                <w:u w:val="none"/>
                <w:lang w:val="en-US" w:eastAsia="zh-CN" w:bidi="ar"/>
              </w:rPr>
              <w:t>专业</w:t>
            </w:r>
            <w:r>
              <w:rPr>
                <w:rFonts w:hint="default" w:ascii="Times New Roman" w:hAnsi="Times New Roman" w:eastAsia="宋体" w:cs="Times New Roman"/>
                <w:i w:val="0"/>
                <w:iCs w:val="0"/>
                <w:color w:val="auto"/>
                <w:kern w:val="0"/>
                <w:sz w:val="20"/>
                <w:szCs w:val="20"/>
                <w:u w:val="none"/>
                <w:lang w:val="en-US" w:eastAsia="zh-CN" w:bidi="ar"/>
              </w:rPr>
              <w:t>领军教师高级研修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省级骨干教师、教学名师、学科带头人等，高级职称</w:t>
            </w:r>
          </w:p>
        </w:tc>
        <w:tc>
          <w:tcPr>
            <w:tcW w:w="6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职业教育类型基本规律和内涵属性、教师创新团队分工协作的模块化教学模式、双师型教师个体成长、岗课赛证人才培养模式、职业技能等级证书制度改革、现代信息技术与教育教学深度融合、基于工作过程的课程体系重构、新形态教材开发，以及弘扬职业精神、工匠精神、劳模精神等开展研讨与实践。4.周期一年的分阶段、连续性、系统化培养。通过线上线下相结合、相近学科混合组班等方式，灵活采取专家授课、名师引领、交流研讨、考察观摩、项目实践、案例分享等多种形式展开培训，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120学时/20天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中职学校</w:t>
            </w:r>
            <w:r>
              <w:rPr>
                <w:rFonts w:hint="eastAsia" w:eastAsia="宋体" w:cs="Times New Roman"/>
                <w:i w:val="0"/>
                <w:iCs w:val="0"/>
                <w:color w:val="auto"/>
                <w:kern w:val="0"/>
                <w:sz w:val="20"/>
                <w:szCs w:val="20"/>
                <w:u w:val="none"/>
                <w:lang w:val="en-US" w:eastAsia="zh-CN" w:bidi="ar"/>
              </w:rPr>
              <w:t>专业</w:t>
            </w:r>
            <w:r>
              <w:rPr>
                <w:rFonts w:hint="default" w:ascii="Times New Roman" w:hAnsi="Times New Roman" w:eastAsia="宋体" w:cs="Times New Roman"/>
                <w:i w:val="0"/>
                <w:iCs w:val="0"/>
                <w:color w:val="auto"/>
                <w:kern w:val="0"/>
                <w:sz w:val="20"/>
                <w:szCs w:val="20"/>
                <w:u w:val="none"/>
                <w:lang w:val="en-US" w:eastAsia="zh-CN" w:bidi="ar"/>
              </w:rPr>
              <w:t>领军教师高级研修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省级骨干教师、教学名师、学科带头人等，高级职称</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120学时/20天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紧缺领域专业骨干教师示范培训</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高职学前教育领域专业骨干教师示范培训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高职学校学前教育领域相关专业骨干教师</w:t>
            </w:r>
          </w:p>
        </w:tc>
        <w:tc>
          <w:tcPr>
            <w:tcW w:w="6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根据职业教育类型特点，针对该项目涉及领域的人才紧缺专业，将职业标准、专业教学标准、职业技能等级证书标准、行业企业先进技术等融入培训内容，围绕专业课程开发与实践、基于模块化教学重构课程体系、新形态教材开发、教学模式与方法创新等内容展开研讨与实践。3.通过线上线下相结合、相近专业混合组班等方式，灵活采取专家授课、名师引领、交流研讨、考察观摩、项目实践、案例分享等多种形式展开培训，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中高职康养领域专业骨干教师示范培训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中职、高职学校康养领域相关专业骨干教师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中高职护理领域专业骨干教师示范培训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中职、高职学校护理领域相关专业骨干教师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中高职家政服务领域专业骨干教师示范培训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中职、高职学校家政领域相关专业骨干教师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优先发展产业领域专业骨干教师示范培训</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中高职先进制造领域专业骨干教师示范培训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中职、高职学校先进制造领域相关专业骨干教师</w:t>
            </w:r>
          </w:p>
        </w:tc>
        <w:tc>
          <w:tcPr>
            <w:tcW w:w="6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根据职业教育类型特点，针对该项目涉及领域需要的新兴专业，将职业标准、专业教学标准、职业技能等级证书标准、行业企业先进技术等融入培训内容，围绕专业课程开发与实践、基于模块化教学重构课程体系、新形态教材开发、教学模式与方法创新等内容展开研讨与实践。3.通过线上线下相结合、相近专业混合组班等方式，灵活采取专家授课、名师引领、交流研讨、考察观摩、项目实践、案例分享等多种形式展开培训，确保培训任务如期高质量完成。</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中高职新能源领域专业骨干教师示范培训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中职、高职学校新能源领域相关专业骨干教师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中高职新材料领域专业骨干教师示范培训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中职、高职学校新材料领域相关专业骨干教师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中高职现代农业领域专业骨干教师示范培训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中职、高职学校现代农业领域相关专业骨干教师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中高职现代信息技术领域专业骨干教师示范培训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中职、高职学校现代信息技术领域相关专业骨干教师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中高职生物技术领域专业骨干教师示范培训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中职、高职学校生物技术领域相关专业骨干教师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中高职人工智能领域专业骨干教师示范培训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中职、高职学校人工智能领域相关专业骨干教师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84学时/14天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公共基础课教师示范培训</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中职语文教师示范培训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中职语文课骨干教师</w:t>
            </w:r>
          </w:p>
        </w:tc>
        <w:tc>
          <w:tcPr>
            <w:tcW w:w="6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在中职三科统编教材完成编审后，围绕项目涉及课程统编教材编写思路、课程内容、教学标准方法和教育教学能力等开展教师培训。3.培训方式应灵活多样，提高名师授课观摩研讨比例。</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中职历史课教师示范培训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中职历史课骨干教师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中职思想政治课教师示范培训</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中职思想政治课骨干教师</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36学时/6天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三</w:t>
            </w:r>
          </w:p>
        </w:tc>
        <w:tc>
          <w:tcPr>
            <w:tcW w:w="1349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黑体" w:cs="Times New Roman"/>
                <w:i w:val="0"/>
                <w:iCs w:val="0"/>
                <w:color w:val="auto"/>
                <w:sz w:val="20"/>
                <w:szCs w:val="20"/>
                <w:u w:val="none"/>
              </w:rPr>
            </w:pPr>
            <w:r>
              <w:rPr>
                <w:rFonts w:hint="default" w:ascii="Times New Roman" w:hAnsi="Times New Roman" w:eastAsia="黑体" w:cs="Times New Roman"/>
                <w:i w:val="0"/>
                <w:iCs w:val="0"/>
                <w:color w:val="auto"/>
                <w:kern w:val="0"/>
                <w:sz w:val="20"/>
                <w:szCs w:val="20"/>
                <w:u w:val="none"/>
                <w:lang w:val="en-US" w:eastAsia="zh-CN" w:bidi="ar"/>
              </w:rPr>
              <w:t>校长（书记）培训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7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校长高级研修</w:t>
            </w: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高职学校校长高级研修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年富力强、有丰富办学实践经历和发展潜力的高职学校正职骨干校长</w:t>
            </w:r>
          </w:p>
        </w:tc>
        <w:tc>
          <w:tcPr>
            <w:tcW w:w="64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强化习近平总书记关于教师队伍建设和职业教育的系列重要讲话精神培训。围绕思想政治与师德师风教育纳入培训的必修内容开展培训研讨。2.对国家关于职业教育和教师工作的最新政策理念、重大改革举措、发展前沿趋势等进行解读。3.围绕党建引领、学校治理体系和治理能力现代化、人才培养模式、职业教育数字化升级、师德师风建设、双师型教师队伍建设、校企合作、“双高”建设、1+X证书制度改革、领导素养、学校文化塑造、国际合作等内容，更新办学理念、完善知识结构、提升骨干校长的办学治校能力和创新能力，培养一批教育家型优秀校长。</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150学时/25天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jc w:val="center"/>
        </w:trPr>
        <w:tc>
          <w:tcPr>
            <w:tcW w:w="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iCs w:val="0"/>
                <w:color w:val="auto"/>
                <w:sz w:val="20"/>
                <w:szCs w:val="20"/>
                <w:u w:val="none"/>
              </w:rPr>
            </w:pPr>
          </w:p>
        </w:tc>
        <w:tc>
          <w:tcPr>
            <w:tcW w:w="2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中职学校校长高级研修</w:t>
            </w:r>
          </w:p>
        </w:tc>
        <w:tc>
          <w:tcPr>
            <w:tcW w:w="24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年富力强、有丰富办学实践经历和发展潜力的中职学校正职骨干校长</w:t>
            </w:r>
          </w:p>
        </w:tc>
        <w:tc>
          <w:tcPr>
            <w:tcW w:w="64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default" w:ascii="Times New Roman" w:hAnsi="Times New Roman" w:eastAsia="宋体" w:cs="Times New Roman"/>
                <w:i w:val="0"/>
                <w:iCs w:val="0"/>
                <w:color w:val="auto"/>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150学时/25天</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r>
    </w:tbl>
    <w:p>
      <w:pPr>
        <w:rPr>
          <w:rFonts w:hint="default" w:ascii="Times New Roman" w:hAnsi="Times New Roman" w:cs="Times New Roman"/>
          <w:color w:val="auto"/>
          <w:lang w:val="en-US" w:eastAsia="zh-CN"/>
        </w:rPr>
        <w:sectPr>
          <w:pgSz w:w="16838" w:h="11906" w:orient="landscape"/>
          <w:pgMar w:top="1701" w:right="1440" w:bottom="1701" w:left="1440" w:header="851" w:footer="992" w:gutter="0"/>
          <w:pgNumType w:fmt="decimal"/>
          <w:cols w:space="720" w:num="1"/>
          <w:rtlGutter w:val="0"/>
          <w:docGrid w:type="lines" w:linePitch="319" w:charSpace="0"/>
        </w:sect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1559"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3538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widowControl/>
      <w:numPr>
        <w:ilvl w:val="1"/>
        <w:numId w:val="1"/>
      </w:numPr>
      <w:tabs>
        <w:tab w:val="left" w:pos="1418"/>
      </w:tabs>
      <w:adjustRightInd w:val="0"/>
      <w:snapToGrid w:val="0"/>
      <w:spacing w:line="560" w:lineRule="exact"/>
      <w:ind w:left="0" w:firstLine="720" w:firstLineChars="200"/>
      <w:jc w:val="left"/>
      <w:outlineLvl w:val="1"/>
    </w:pPr>
    <w:rPr>
      <w:rFonts w:eastAsia="黑体" w:cs="Times New Roman"/>
      <w:sz w:val="32"/>
      <w:szCs w:val="3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真标题"/>
    <w:basedOn w:val="1"/>
    <w:qFormat/>
    <w:uiPriority w:val="0"/>
    <w:pPr>
      <w:ind w:firstLine="0" w:firstLineChars="0"/>
      <w:jc w:val="center"/>
    </w:pPr>
    <w:rPr>
      <w:rFonts w:eastAsia="方正小标宋简体"/>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2022-05-07T09:05:04Z</dcterms:created>
  <dc:creator>Administrator</dc:creator>
  <cp:lastModifiedBy>一叶编舟</cp:lastModifiedBy>
  <dcterms:modified xsi:type="dcterms:W3CDTF">2022-05-07T09:05:25Z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86478D6A33224CD681CF61669FA77C35</vt:lpwstr>
  </property>
</Properties>
</file>