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03" w:firstLineChars="300"/>
        <w:textAlignment w:val="auto"/>
        <w:rPr>
          <w:rFonts w:hint="eastAsia" w:ascii="宋体" w:hAnsi="宋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附件</w:t>
      </w:r>
      <w:r>
        <w:rPr>
          <w:rFonts w:hint="eastAsia" w:ascii="黑体" w:eastAsia="黑体"/>
          <w:color w:val="000000"/>
          <w:sz w:val="32"/>
          <w:szCs w:val="32"/>
          <w:lang w:val="en-US" w:eastAsia="zh-CN"/>
        </w:rPr>
        <w:t>2</w:t>
      </w:r>
      <w:r>
        <w:rPr>
          <w:rFonts w:hint="eastAsia" w:ascii="黑体" w:eastAsia="黑体"/>
          <w:color w:val="00000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95" w:beforeLines="50"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组织员工作能力与党性修养提升班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网络培训课程安排表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</w:pPr>
    </w:p>
    <w:tbl>
      <w:tblPr>
        <w:tblStyle w:val="5"/>
        <w:tblW w:w="5287" w:type="pct"/>
        <w:tblInd w:w="-2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64"/>
        <w:gridCol w:w="1032"/>
        <w:gridCol w:w="3562"/>
        <w:gridCol w:w="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72" w:type="pct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课程名称</w:t>
            </w:r>
          </w:p>
        </w:tc>
        <w:tc>
          <w:tcPr>
            <w:tcW w:w="538" w:type="pct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主讲人</w:t>
            </w:r>
          </w:p>
        </w:tc>
        <w:tc>
          <w:tcPr>
            <w:tcW w:w="1858" w:type="pct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单位与职务</w:t>
            </w:r>
          </w:p>
        </w:tc>
        <w:tc>
          <w:tcPr>
            <w:tcW w:w="430" w:type="pct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000" w:type="pct"/>
            <w:gridSpan w:val="4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（一）学习政治理论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72" w:type="pct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习近平新时代中国特色社会主义思想：马克思主义中国化新的飞跃</w:t>
            </w:r>
          </w:p>
        </w:tc>
        <w:tc>
          <w:tcPr>
            <w:tcW w:w="538" w:type="pct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胡敏</w:t>
            </w:r>
          </w:p>
        </w:tc>
        <w:tc>
          <w:tcPr>
            <w:tcW w:w="1858" w:type="pct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中共中央党校（国家行政学院）习近平新时代中国特色社会主义思想研究中心研究员</w:t>
            </w:r>
          </w:p>
        </w:tc>
        <w:tc>
          <w:tcPr>
            <w:tcW w:w="430" w:type="pct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1.7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72" w:type="pct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党的十九届六中全会暨《中共中央关于党的百年奋斗重大成就和历史经验的决议》总体解读</w:t>
            </w:r>
          </w:p>
        </w:tc>
        <w:tc>
          <w:tcPr>
            <w:tcW w:w="538" w:type="pct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刘春</w:t>
            </w:r>
          </w:p>
        </w:tc>
        <w:tc>
          <w:tcPr>
            <w:tcW w:w="1858" w:type="pct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中共中央党校（国家行政学院）教授</w:t>
            </w:r>
          </w:p>
        </w:tc>
        <w:tc>
          <w:tcPr>
            <w:tcW w:w="430" w:type="pct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2.8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72" w:type="pct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深入学习贯彻党的十九届六中全会精神——从党的百年奋斗历史经验看人民教育千秋基业</w:t>
            </w:r>
          </w:p>
        </w:tc>
        <w:tc>
          <w:tcPr>
            <w:tcW w:w="538" w:type="pct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张力</w:t>
            </w:r>
          </w:p>
        </w:tc>
        <w:tc>
          <w:tcPr>
            <w:tcW w:w="1858" w:type="pct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国家教育咨询委员会秘书长</w:t>
            </w:r>
          </w:p>
        </w:tc>
        <w:tc>
          <w:tcPr>
            <w:tcW w:w="430" w:type="pct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1.8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72" w:type="pct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党的伟大精神永远是党和国家的宝贵精神财富——深入学习习近平总书记关于党的伟大精神的重要论述</w:t>
            </w:r>
          </w:p>
        </w:tc>
        <w:tc>
          <w:tcPr>
            <w:tcW w:w="538" w:type="pct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李俭</w:t>
            </w:r>
          </w:p>
        </w:tc>
        <w:tc>
          <w:tcPr>
            <w:tcW w:w="1858" w:type="pct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中共中央宣传部原思想政治工作研究所研究员</w:t>
            </w:r>
          </w:p>
        </w:tc>
        <w:tc>
          <w:tcPr>
            <w:tcW w:w="430" w:type="pct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1.8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72" w:type="pct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学习“四史”  坚定中国特色社会主义“四个自信”</w:t>
            </w:r>
          </w:p>
        </w:tc>
        <w:tc>
          <w:tcPr>
            <w:tcW w:w="538" w:type="pct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王刚</w:t>
            </w:r>
          </w:p>
        </w:tc>
        <w:tc>
          <w:tcPr>
            <w:tcW w:w="1858" w:type="pct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南京师范大学马克思主义学院院长，教授</w:t>
            </w:r>
          </w:p>
        </w:tc>
        <w:tc>
          <w:tcPr>
            <w:tcW w:w="430" w:type="pct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1.8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72" w:type="pct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高校如何贯彻落实党的教育方针</w:t>
            </w:r>
          </w:p>
        </w:tc>
        <w:tc>
          <w:tcPr>
            <w:tcW w:w="538" w:type="pct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巫志刚</w:t>
            </w:r>
          </w:p>
        </w:tc>
        <w:tc>
          <w:tcPr>
            <w:tcW w:w="1858" w:type="pct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教育部政策法规司综合研究处处长</w:t>
            </w:r>
          </w:p>
        </w:tc>
        <w:tc>
          <w:tcPr>
            <w:tcW w:w="430" w:type="pct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2.4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000" w:type="pct"/>
            <w:gridSpan w:val="4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（二）对标党章党规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72" w:type="pct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为贯彻落实新时代党的组织路线提供坚强制度保证——《中国共产党组织工作条例》解读</w:t>
            </w:r>
          </w:p>
        </w:tc>
        <w:tc>
          <w:tcPr>
            <w:tcW w:w="538" w:type="pct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曹鹏飞</w:t>
            </w:r>
          </w:p>
        </w:tc>
        <w:tc>
          <w:tcPr>
            <w:tcW w:w="1858" w:type="pct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中共中央党校（国家行政学院）教授</w:t>
            </w:r>
          </w:p>
        </w:tc>
        <w:tc>
          <w:tcPr>
            <w:tcW w:w="430" w:type="pct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72" w:type="pct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坚持和加强党对高等学校全面领导 建设高质量教育体系——《中国共产党普通高等学校基层组织工作条例》（新修订）解读</w:t>
            </w:r>
          </w:p>
        </w:tc>
        <w:tc>
          <w:tcPr>
            <w:tcW w:w="538" w:type="pct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陈凯龙</w:t>
            </w:r>
          </w:p>
        </w:tc>
        <w:tc>
          <w:tcPr>
            <w:tcW w:w="1858" w:type="pct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中共中央党校（国家行政学院）教授</w:t>
            </w:r>
          </w:p>
        </w:tc>
        <w:tc>
          <w:tcPr>
            <w:tcW w:w="430" w:type="pct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2.2</w:t>
            </w:r>
          </w:p>
        </w:tc>
      </w:tr>
    </w:tbl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44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44"/>
          <w:sz w:val="28"/>
          <w:szCs w:val="28"/>
          <w:lang w:val="en-US" w:eastAsia="zh-CN" w:bidi="ar-SA"/>
        </w:rPr>
        <w:br w:type="page"/>
      </w:r>
    </w:p>
    <w:tbl>
      <w:tblPr>
        <w:tblStyle w:val="5"/>
        <w:tblW w:w="5287" w:type="pct"/>
        <w:tblInd w:w="-2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64"/>
        <w:gridCol w:w="1032"/>
        <w:gridCol w:w="3562"/>
        <w:gridCol w:w="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72" w:type="pct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课程名称</w:t>
            </w:r>
          </w:p>
        </w:tc>
        <w:tc>
          <w:tcPr>
            <w:tcW w:w="538" w:type="pct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主讲人</w:t>
            </w:r>
          </w:p>
        </w:tc>
        <w:tc>
          <w:tcPr>
            <w:tcW w:w="1858" w:type="pct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单位与职务</w:t>
            </w:r>
          </w:p>
        </w:tc>
        <w:tc>
          <w:tcPr>
            <w:tcW w:w="430" w:type="pct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72" w:type="pct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  <w:t>深入学习贯彻《中国共产党支部工作条例（试行）》  加强党支部标准化规范化建设</w:t>
            </w:r>
          </w:p>
        </w:tc>
        <w:tc>
          <w:tcPr>
            <w:tcW w:w="538" w:type="pct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  <w:t>王日春</w:t>
            </w:r>
          </w:p>
        </w:tc>
        <w:tc>
          <w:tcPr>
            <w:tcW w:w="1858" w:type="pct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  <w:t>教育部直属机关党委副书记</w:t>
            </w:r>
          </w:p>
        </w:tc>
        <w:tc>
          <w:tcPr>
            <w:tcW w:w="430" w:type="pct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  <w:t>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72" w:type="pct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  <w:t>新时代党员教育管理工作的基本遵循——学习《中国共产党党员教育管理工作条例》</w:t>
            </w:r>
          </w:p>
        </w:tc>
        <w:tc>
          <w:tcPr>
            <w:tcW w:w="538" w:type="pct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  <w:t>王莉</w:t>
            </w:r>
          </w:p>
        </w:tc>
        <w:tc>
          <w:tcPr>
            <w:tcW w:w="1858" w:type="pct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  <w:t>中共中央党校（国家行政学院）教授</w:t>
            </w:r>
          </w:p>
        </w:tc>
        <w:tc>
          <w:tcPr>
            <w:tcW w:w="430" w:type="pct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72" w:type="pct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  <w:t>不断提高新发展党员的质量——关于《中国共产党发展党员工作细则》的学习与解读</w:t>
            </w:r>
          </w:p>
        </w:tc>
        <w:tc>
          <w:tcPr>
            <w:tcW w:w="538" w:type="pct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  <w:t>元跃旗</w:t>
            </w:r>
          </w:p>
        </w:tc>
        <w:tc>
          <w:tcPr>
            <w:tcW w:w="1858" w:type="pct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  <w:t>北京市委党校党史党建教研部副教授</w:t>
            </w:r>
          </w:p>
        </w:tc>
        <w:tc>
          <w:tcPr>
            <w:tcW w:w="430" w:type="pct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  <w:t>2.4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000" w:type="pct"/>
            <w:gridSpan w:val="4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（三）扎实党建实务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72" w:type="pct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  <w:t>新时代基层党支部标准化建设</w:t>
            </w:r>
          </w:p>
        </w:tc>
        <w:tc>
          <w:tcPr>
            <w:tcW w:w="538" w:type="pct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  <w:t>元跃旗</w:t>
            </w:r>
          </w:p>
        </w:tc>
        <w:tc>
          <w:tcPr>
            <w:tcW w:w="1858" w:type="pct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  <w:t>中共北京市委党校（北京行政学院）党史党建教研部副教授</w:t>
            </w:r>
          </w:p>
        </w:tc>
        <w:tc>
          <w:tcPr>
            <w:tcW w:w="430" w:type="pct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  <w:t>2.6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72" w:type="pct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  <w:t>严格规范党的组织生活，开好党的组织生活会</w:t>
            </w:r>
          </w:p>
        </w:tc>
        <w:tc>
          <w:tcPr>
            <w:tcW w:w="538" w:type="pct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  <w:t>姚桓</w:t>
            </w:r>
          </w:p>
        </w:tc>
        <w:tc>
          <w:tcPr>
            <w:tcW w:w="1858" w:type="pct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  <w:t>中共北京市委党校原党史党建部主任</w:t>
            </w:r>
          </w:p>
        </w:tc>
        <w:tc>
          <w:tcPr>
            <w:tcW w:w="430" w:type="pct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  <w:t>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72" w:type="pct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  <w:t>党务工作公文写作方法、规律与技巧</w:t>
            </w:r>
          </w:p>
        </w:tc>
        <w:tc>
          <w:tcPr>
            <w:tcW w:w="538" w:type="pct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  <w:t>岳海翔</w:t>
            </w:r>
          </w:p>
        </w:tc>
        <w:tc>
          <w:tcPr>
            <w:tcW w:w="1858" w:type="pct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  <w:t>中国公文写作研究会常务副会长兼秘书长</w:t>
            </w:r>
          </w:p>
        </w:tc>
        <w:tc>
          <w:tcPr>
            <w:tcW w:w="430" w:type="pct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000" w:type="pct"/>
            <w:gridSpan w:val="4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（四）锤炼党性修养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72" w:type="pct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  <w:t>孙金娣：贴心书记 最美巾帼</w:t>
            </w:r>
          </w:p>
        </w:tc>
        <w:tc>
          <w:tcPr>
            <w:tcW w:w="538" w:type="pct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  <w:t xml:space="preserve">专题片 </w:t>
            </w:r>
          </w:p>
        </w:tc>
        <w:tc>
          <w:tcPr>
            <w:tcW w:w="1858" w:type="pct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30" w:type="pct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72" w:type="pct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  <w:t>张桂梅：“燃灯”校长 大山妈妈</w:t>
            </w:r>
          </w:p>
        </w:tc>
        <w:tc>
          <w:tcPr>
            <w:tcW w:w="538" w:type="pct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  <w:t>专题片</w:t>
            </w:r>
          </w:p>
        </w:tc>
        <w:tc>
          <w:tcPr>
            <w:tcW w:w="1858" w:type="pct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30" w:type="pct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  <w:t>0.3</w:t>
            </w:r>
          </w:p>
        </w:tc>
      </w:tr>
    </w:tbl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 xml:space="preserve">说明：1.个别课程或稍有调整，请以平台最终发布课程为准；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1478" w:leftChars="270" w:hanging="963" w:hangingChars="369"/>
        <w:textAlignment w:val="auto"/>
        <w:rPr>
          <w:rFonts w:hint="default" w:ascii="仿宋_GB2312" w:hAnsi="仿宋_GB2312" w:eastAsia="仿宋_GB2312" w:cs="仿宋_GB2312"/>
          <w:color w:val="000000"/>
          <w:sz w:val="30"/>
          <w:szCs w:val="30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2.课程主讲人职务为课程录制时的职务。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7" w:h="16840"/>
      <w:pgMar w:top="2098" w:right="1474" w:bottom="1984" w:left="1587" w:header="851" w:footer="1021" w:gutter="0"/>
      <w:cols w:space="720" w:num="1"/>
      <w:docGrid w:type="linesAndChars" w:linePitch="585" w:charSpace="-40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5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6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iZjAzZWE1ZWRkMTE1YWEzZjc4Y2Y0YzQwOGQ0NDkifQ=="/>
  </w:docVars>
  <w:rsids>
    <w:rsidRoot w:val="00000000"/>
    <w:rsid w:val="2B884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32"/>
      <w:szCs w:val="44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2022-06-08T05:51:20Z</dcterms:created>
  <dc:creator>Administrator</dc:creator>
  <cp:lastModifiedBy>一叶编舟</cp:lastModifiedBy>
  <dcterms:modified xsi:type="dcterms:W3CDTF">2022-06-08T05:51:32Z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5121051864DB439FB0DDACF4EEB4B750</vt:lpwstr>
  </property>
</Properties>
</file>