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ind w:left="-142" w:leftChars="-354" w:hanging="708" w:hangingChars="236"/>
        <w:jc w:val="both"/>
        <w:textAlignment w:val="baseline"/>
        <w:rPr>
          <w:rFonts w:ascii="Times New Roman" w:hAnsi="Times New Roman" w:eastAsia="黑体" w:cs="黑体"/>
          <w:b w:val="0"/>
          <w:bCs w:val="0"/>
          <w:sz w:val="30"/>
          <w:szCs w:val="36"/>
        </w:rPr>
      </w:pPr>
      <w:bookmarkStart w:id="0" w:name="_Toc12385"/>
      <w:bookmarkStart w:id="1" w:name="_Toc7456"/>
      <w:bookmarkStart w:id="2" w:name="_Toc4682"/>
      <w:bookmarkStart w:id="3" w:name="_Toc22632"/>
      <w:r>
        <w:rPr>
          <w:rFonts w:hint="eastAsia" w:ascii="Times New Roman" w:hAnsi="Times New Roman" w:eastAsia="黑体" w:cs="黑体"/>
          <w:b w:val="0"/>
          <w:bCs w:val="0"/>
          <w:sz w:val="30"/>
          <w:szCs w:val="36"/>
        </w:rPr>
        <w:t>附件2</w:t>
      </w:r>
      <w:bookmarkEnd w:id="0"/>
      <w:bookmarkEnd w:id="1"/>
      <w:bookmarkEnd w:id="2"/>
      <w:bookmarkEnd w:id="3"/>
    </w:p>
    <w:p>
      <w:pPr>
        <w:pStyle w:val="2"/>
        <w:spacing w:before="156" w:beforeAutospacing="0" w:after="156" w:afterAutospacing="0" w:line="580" w:lineRule="exact"/>
        <w:jc w:val="center"/>
        <w:textAlignment w:val="baseline"/>
        <w:rPr>
          <w:rFonts w:ascii="方正小标宋简体" w:hAnsi="方正小标宋简体" w:eastAsia="方正小标宋简体" w:cs="方正小标宋简体"/>
          <w:b w:val="0"/>
          <w:kern w:val="2"/>
          <w:sz w:val="36"/>
          <w:szCs w:val="36"/>
        </w:rPr>
      </w:pPr>
      <w:bookmarkStart w:id="8" w:name="_GoBack"/>
      <w:bookmarkStart w:id="4" w:name="_Toc9319"/>
      <w:bookmarkStart w:id="5" w:name="_Toc2058"/>
      <w:bookmarkStart w:id="6" w:name="_Toc25020"/>
      <w:bookmarkStart w:id="7" w:name="_Toc18516"/>
      <w:r>
        <w:rPr>
          <w:rFonts w:hint="eastAsia" w:ascii="方正小标宋简体" w:hAnsi="方正小标宋简体" w:eastAsia="方正小标宋简体" w:cs="方正小标宋简体"/>
          <w:b w:val="0"/>
          <w:kern w:val="2"/>
          <w:sz w:val="36"/>
          <w:szCs w:val="36"/>
        </w:rPr>
        <w:t>宣传干部网络培训课程列表</w:t>
      </w:r>
      <w:bookmarkEnd w:id="4"/>
      <w:bookmarkEnd w:id="5"/>
      <w:bookmarkEnd w:id="6"/>
      <w:bookmarkEnd w:id="7"/>
    </w:p>
    <w:bookmarkEnd w:id="8"/>
    <w:tbl>
      <w:tblPr>
        <w:tblStyle w:val="3"/>
        <w:tblW w:w="5938" w:type="pct"/>
        <w:tblInd w:w="-783" w:type="dxa"/>
        <w:tblLayout w:type="fixed"/>
        <w:tblCellMar>
          <w:top w:w="0" w:type="dxa"/>
          <w:left w:w="108" w:type="dxa"/>
          <w:bottom w:w="0" w:type="dxa"/>
          <w:right w:w="108" w:type="dxa"/>
        </w:tblCellMar>
      </w:tblPr>
      <w:tblGrid>
        <w:gridCol w:w="822"/>
        <w:gridCol w:w="4447"/>
        <w:gridCol w:w="1162"/>
        <w:gridCol w:w="3690"/>
      </w:tblGrid>
      <w:tr>
        <w:tblPrEx>
          <w:tblCellMar>
            <w:top w:w="0" w:type="dxa"/>
            <w:left w:w="108" w:type="dxa"/>
            <w:bottom w:w="0" w:type="dxa"/>
            <w:right w:w="108" w:type="dxa"/>
          </w:tblCellMar>
        </w:tblPrEx>
        <w:trPr>
          <w:trHeight w:val="60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黑体" w:hAnsi="黑体" w:eastAsia="黑体" w:cs="黑体"/>
                <w:color w:val="000000"/>
                <w:lang w:eastAsia="zh-CN" w:bidi="ar"/>
              </w:rPr>
            </w:pPr>
            <w:r>
              <w:rPr>
                <w:rFonts w:hint="eastAsia" w:ascii="黑体" w:hAnsi="黑体" w:eastAsia="黑体" w:cs="黑体"/>
                <w:color w:val="000000"/>
                <w:lang w:eastAsia="zh-CN" w:bidi="ar"/>
              </w:rPr>
              <w:t>课程</w:t>
            </w:r>
          </w:p>
          <w:p>
            <w:pPr>
              <w:jc w:val="center"/>
              <w:textAlignment w:val="center"/>
              <w:rPr>
                <w:rFonts w:ascii="黑体" w:hAnsi="黑体" w:eastAsia="黑体" w:cs="黑体"/>
                <w:color w:val="000000"/>
              </w:rPr>
            </w:pPr>
            <w:r>
              <w:rPr>
                <w:rFonts w:hint="eastAsia" w:ascii="黑体" w:hAnsi="黑体" w:eastAsia="黑体" w:cs="黑体"/>
                <w:color w:val="000000"/>
                <w:lang w:eastAsia="zh-CN" w:bidi="ar"/>
              </w:rPr>
              <w:t>模块</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课程名称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主讲人</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单位职务</w:t>
            </w:r>
          </w:p>
        </w:tc>
      </w:tr>
      <w:tr>
        <w:tblPrEx>
          <w:tblCellMar>
            <w:top w:w="0" w:type="dxa"/>
            <w:left w:w="108" w:type="dxa"/>
            <w:bottom w:w="0" w:type="dxa"/>
            <w:right w:w="108" w:type="dxa"/>
          </w:tblCellMar>
        </w:tblPrEx>
        <w:trPr>
          <w:trHeight w:val="600" w:hRule="atLeast"/>
        </w:trPr>
        <w:tc>
          <w:tcPr>
            <w:tcW w:w="406" w:type="pct"/>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政治理论学习</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坚持立德树人，建设教育强国——学习《习近平总书记教育重要论述讲义》</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王炳林</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教育部高等学校社会科学发展研究中心主任</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党的伟大精神永远是党和国家的宝贵精神财富——深入学习习近平总书记关于党的伟大精神的重要论述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李俭</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中共中央宣传部原思想政治工作研究所研究员</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深入学习贯彻习近平总书记在“七一”庆祝中国共产党成立100周年大会上的重要讲话精神</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刘春</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党的十九届六中全会暨《中共中央关于党的百年奋斗重大成就和历史经验的决议》总体解读</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刘春</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中国共产党与三个历史决议</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祝彦</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中共中央党校（国家行政学院）党史教研部教授</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党员干部的党性与党性修养</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祝彦</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中共中央党校（国家行政学院）党史教研部教授</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新时代中国共产党的历史使命</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王新生</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原中共中央党史研究室研究员</w:t>
            </w:r>
          </w:p>
        </w:tc>
      </w:tr>
      <w:tr>
        <w:tblPrEx>
          <w:tblCellMar>
            <w:top w:w="0" w:type="dxa"/>
            <w:left w:w="108" w:type="dxa"/>
            <w:bottom w:w="0" w:type="dxa"/>
            <w:right w:w="108" w:type="dxa"/>
          </w:tblCellMar>
        </w:tblPrEx>
        <w:trPr>
          <w:trHeight w:val="600" w:hRule="atLeast"/>
        </w:trPr>
        <w:tc>
          <w:tcPr>
            <w:tcW w:w="406" w:type="pct"/>
            <w:vMerge w:val="continue"/>
            <w:tcBorders>
              <w:top w:val="nil"/>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深入学习贯彻党的十九届六中全会精神——从党的百年奋斗历史经验看人民教育千秋基业</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张力</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国家教育咨询委员会秘书长</w:t>
            </w:r>
          </w:p>
        </w:tc>
      </w:tr>
      <w:tr>
        <w:tblPrEx>
          <w:tblCellMar>
            <w:top w:w="0" w:type="dxa"/>
            <w:left w:w="108" w:type="dxa"/>
            <w:bottom w:w="0" w:type="dxa"/>
            <w:right w:w="108" w:type="dxa"/>
          </w:tblCellMar>
        </w:tblPrEx>
        <w:trPr>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高校意识形态工作</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意识形态工作如何凝民心聚共识——习近平总书记关于意识形态工作重要讲话精神解读</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刘春</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筑牢中华民族共同体意识“四个与共”的丰富内涵与深刻思想——基于“中华民族是一个大家庭”的理解与畅想</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姚上海</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中南民族大学中华民族共同体研究院院长</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发扬好党委主要负责同志带头抓意识形态工作的优良传统——新中国意识形态建设的一个重要视角</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朱继东</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中国社会科学院国家文化安全与意识形态建设研究中心副主任兼秘书长</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建设具有强大凝聚力和引领力的社会主义意识形态</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寇清杰</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南开大学马克思主义学院教授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牢记使命 履职担当——切实做好新形势下高校意识形态工作</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王武</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内蒙古工业大学团委书记</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Style w:val="5"/>
                <w:rFonts w:hint="default" w:ascii="Times New Roman" w:hAnsi="Times New Roman" w:eastAsia="仿宋_GB2312"/>
                <w:lang w:eastAsia="zh-CN" w:bidi="ar"/>
              </w:rPr>
              <w:t xml:space="preserve"> 铸牢中华民族共同体意识与新时代青年担当</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陈丽明</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中央民族大学中国民族理论与民族政策研究院讲师</w:t>
            </w:r>
          </w:p>
        </w:tc>
      </w:tr>
      <w:tr>
        <w:tblPrEx>
          <w:tblCellMar>
            <w:top w:w="0" w:type="dxa"/>
            <w:left w:w="108" w:type="dxa"/>
            <w:bottom w:w="0" w:type="dxa"/>
            <w:right w:w="108" w:type="dxa"/>
          </w:tblCellMar>
        </w:tblPrEx>
        <w:trPr>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形势政策教育</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贯彻落实《中国共产党宣传工作条例》，努力做好新时代宣传工作</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李俭</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中共中央宣传部思想政治工作研究所研究员</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中国共产党宣传工作的历史经验及其当代启示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李 </w:t>
            </w:r>
            <w:r>
              <w:rPr>
                <w:rFonts w:eastAsia="仿宋_GB2312" w:cs="宋体"/>
                <w:color w:val="000000"/>
                <w:lang w:eastAsia="zh-CN" w:bidi="ar"/>
              </w:rPr>
              <w:t xml:space="preserve"> </w:t>
            </w:r>
            <w:r>
              <w:rPr>
                <w:rFonts w:hint="eastAsia" w:eastAsia="仿宋_GB2312" w:cs="宋体"/>
                <w:color w:val="000000"/>
                <w:lang w:eastAsia="zh-CN" w:bidi="ar"/>
              </w:rPr>
              <w:t>俭</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中共中央宣传部思想政治工作研究所研究员</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举旗帜、聚民心、育新人、兴文化、展形象——深入学习习近平总书记关于党的宣传工作的重要论述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郑保卫</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中国人民大学新闻学院教授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融媒体时代的高校新闻宣传工作面临的新挑战</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吴 </w:t>
            </w:r>
            <w:r>
              <w:rPr>
                <w:rFonts w:eastAsia="仿宋_GB2312" w:cs="宋体"/>
                <w:color w:val="000000"/>
                <w:lang w:eastAsia="zh-CN" w:bidi="ar"/>
              </w:rPr>
              <w:t xml:space="preserve"> </w:t>
            </w:r>
            <w:r>
              <w:rPr>
                <w:rFonts w:hint="eastAsia" w:eastAsia="仿宋_GB2312" w:cs="宋体"/>
                <w:color w:val="000000"/>
                <w:lang w:eastAsia="zh-CN" w:bidi="ar"/>
              </w:rPr>
              <w:t>风</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中国传媒大学新闻学院教授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融媒体时代高校新闻宣传工作的创新路径</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吴 </w:t>
            </w:r>
            <w:r>
              <w:rPr>
                <w:rFonts w:eastAsia="仿宋_GB2312" w:cs="宋体"/>
                <w:color w:val="000000"/>
                <w:lang w:eastAsia="zh-CN" w:bidi="ar"/>
              </w:rPr>
              <w:t xml:space="preserve"> </w:t>
            </w:r>
            <w:r>
              <w:rPr>
                <w:rFonts w:hint="eastAsia" w:eastAsia="仿宋_GB2312" w:cs="宋体"/>
                <w:color w:val="000000"/>
                <w:lang w:eastAsia="zh-CN" w:bidi="ar"/>
              </w:rPr>
              <w:t>风</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中国传媒大学新闻学院教授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新形势下宣传思想工作的使命与任务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郭海燕</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首都师范大学教授</w:t>
            </w:r>
          </w:p>
        </w:tc>
      </w:tr>
      <w:tr>
        <w:tblPrEx>
          <w:tblCellMar>
            <w:top w:w="0" w:type="dxa"/>
            <w:left w:w="108" w:type="dxa"/>
            <w:bottom w:w="0" w:type="dxa"/>
            <w:right w:w="108" w:type="dxa"/>
          </w:tblCellMar>
        </w:tblPrEx>
        <w:trPr>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高等教育改革动态</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世界高等教育改革发展趋势与借鉴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周满生</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教育部教育发展研究中心专家咨询委员会副主任委员</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“逆全球化”影响下的“十四五”高等教育改革</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马陆亭</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教育部教育发展研究中心高教室主任</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十四五高等教育发展新形势与新政策</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刘振天</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厦门大学教育研究院特聘教授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为“十四五”高等教育高质量发展提供根本保证</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王定华</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北京外国语大学党委书记</w:t>
            </w:r>
          </w:p>
        </w:tc>
      </w:tr>
      <w:tr>
        <w:tblPrEx>
          <w:tblCellMar>
            <w:top w:w="0" w:type="dxa"/>
            <w:left w:w="108" w:type="dxa"/>
            <w:bottom w:w="0" w:type="dxa"/>
            <w:right w:w="108" w:type="dxa"/>
          </w:tblCellMar>
        </w:tblPrEx>
        <w:trPr>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lang w:eastAsia="zh-CN"/>
              </w:rPr>
            </w:pPr>
            <w:r>
              <w:rPr>
                <w:rFonts w:hint="eastAsia" w:eastAsia="仿宋_GB2312" w:cs="宋体"/>
                <w:b/>
                <w:bCs/>
                <w:color w:val="000000"/>
                <w:lang w:eastAsia="zh-CN" w:bidi="ar"/>
              </w:rPr>
              <w:t>社会主义核心价值观培育与践行</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中华文化自信与高校立德树人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王光彦</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教育部思想政治工作司副司长</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文化自信与社会主义核心价值观建设</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张 </w:t>
            </w:r>
            <w:r>
              <w:rPr>
                <w:rFonts w:eastAsia="仿宋_GB2312" w:cs="宋体"/>
                <w:color w:val="000000"/>
                <w:lang w:eastAsia="zh-CN" w:bidi="ar"/>
              </w:rPr>
              <w:t xml:space="preserve"> </w:t>
            </w:r>
            <w:r>
              <w:rPr>
                <w:rFonts w:hint="eastAsia" w:eastAsia="仿宋_GB2312" w:cs="宋体"/>
                <w:color w:val="000000"/>
                <w:lang w:eastAsia="zh-CN" w:bidi="ar"/>
              </w:rPr>
              <w:t>军</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中共中央党校（国家行政学院）文史教研部副主任</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eastAsia="仿宋_GB2312" w:cs="宋体"/>
                <w:color w:val="000000"/>
              </w:rPr>
            </w:pPr>
            <w:r>
              <w:rPr>
                <w:rFonts w:hint="eastAsia" w:eastAsia="仿宋_GB2312" w:cs="宋体"/>
                <w:color w:val="000000"/>
                <w:lang w:eastAsia="zh-CN" w:bidi="ar"/>
              </w:rPr>
              <w:t xml:space="preserve">社会主义核心价值观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张 </w:t>
            </w:r>
            <w:r>
              <w:rPr>
                <w:rFonts w:eastAsia="仿宋_GB2312" w:cs="宋体"/>
                <w:color w:val="000000"/>
                <w:lang w:eastAsia="zh-CN" w:bidi="ar"/>
              </w:rPr>
              <w:t xml:space="preserve"> </w:t>
            </w:r>
            <w:r>
              <w:rPr>
                <w:rFonts w:hint="eastAsia" w:eastAsia="仿宋_GB2312" w:cs="宋体"/>
                <w:color w:val="000000"/>
                <w:lang w:eastAsia="zh-CN" w:bidi="ar"/>
              </w:rPr>
              <w:t>智</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中国人民大学马克思主义学院教授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从儒家文化中汲取文化自信的力量</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方 </w:t>
            </w:r>
            <w:r>
              <w:rPr>
                <w:rFonts w:eastAsia="仿宋_GB2312" w:cs="宋体"/>
                <w:color w:val="000000"/>
                <w:lang w:eastAsia="zh-CN" w:bidi="ar"/>
              </w:rPr>
              <w:t xml:space="preserve"> </w:t>
            </w:r>
            <w:r>
              <w:rPr>
                <w:rFonts w:hint="eastAsia" w:eastAsia="仿宋_GB2312" w:cs="宋体"/>
                <w:color w:val="000000"/>
                <w:lang w:eastAsia="zh-CN" w:bidi="ar"/>
              </w:rPr>
              <w:t>铭</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北京语言大学教授</w:t>
            </w:r>
          </w:p>
        </w:tc>
      </w:tr>
      <w:tr>
        <w:tblPrEx>
          <w:tblCellMar>
            <w:top w:w="0" w:type="dxa"/>
            <w:left w:w="108" w:type="dxa"/>
            <w:bottom w:w="0" w:type="dxa"/>
            <w:right w:w="108" w:type="dxa"/>
          </w:tblCellMar>
        </w:tblPrEx>
        <w:trPr>
          <w:trHeight w:val="600" w:hRule="atLeast"/>
        </w:trPr>
        <w:tc>
          <w:tcPr>
            <w:tcW w:w="406"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舆情应对与应急管理</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突发事件应对策略与方法</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游志斌</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中共中央党校（国家行政学院）应急管理培训中心（中欧应急管理学院）教授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 xml:space="preserve">重大突发事件的舆论引导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王彩平</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中共中央党校（国家行政学院）应急管理培训中心副教授</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eastAsia="仿宋_GB2312" w:cs="宋体"/>
                <w:color w:val="000000"/>
                <w:lang w:eastAsia="zh-CN"/>
              </w:rPr>
            </w:pPr>
            <w:r>
              <w:rPr>
                <w:rFonts w:hint="eastAsia" w:eastAsia="仿宋_GB2312" w:cs="宋体"/>
                <w:color w:val="000000"/>
                <w:lang w:eastAsia="zh-CN" w:bidi="ar"/>
              </w:rPr>
              <w:t>网络文章的敏感内容规避和网络舆情防范</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刘 </w:t>
            </w:r>
            <w:r>
              <w:rPr>
                <w:rFonts w:eastAsia="仿宋_GB2312" w:cs="宋体"/>
                <w:color w:val="000000"/>
                <w:lang w:eastAsia="zh-CN" w:bidi="ar"/>
              </w:rPr>
              <w:t xml:space="preserve"> </w:t>
            </w:r>
            <w:r>
              <w:rPr>
                <w:rFonts w:hint="eastAsia" w:eastAsia="仿宋_GB2312" w:cs="宋体"/>
                <w:color w:val="000000"/>
                <w:lang w:eastAsia="zh-CN" w:bidi="ar"/>
              </w:rPr>
              <w:t>俊</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中国传媒大学学报《现代传播》编辑部主任</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网络时代危机管理与突发事件处置</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续 </w:t>
            </w:r>
            <w:r>
              <w:rPr>
                <w:rFonts w:eastAsia="仿宋_GB2312" w:cs="宋体"/>
                <w:color w:val="000000"/>
                <w:lang w:eastAsia="zh-CN" w:bidi="ar"/>
              </w:rPr>
              <w:t xml:space="preserve"> </w:t>
            </w:r>
            <w:r>
              <w:rPr>
                <w:rFonts w:hint="eastAsia" w:eastAsia="仿宋_GB2312" w:cs="宋体"/>
                <w:color w:val="000000"/>
                <w:lang w:eastAsia="zh-CN" w:bidi="ar"/>
              </w:rPr>
              <w:t>梅</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办公厅一级巡视员</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如何应对传染病类突发事件</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张彦平</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中国疾病预防控制中心卫生应急中心副主任</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校园安全法律风险防范与突发事件处理</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 吴寿东</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东北师范大学政法学院副教授</w:t>
            </w:r>
          </w:p>
        </w:tc>
      </w:tr>
      <w:tr>
        <w:tblPrEx>
          <w:tblCellMar>
            <w:top w:w="0" w:type="dxa"/>
            <w:left w:w="108" w:type="dxa"/>
            <w:bottom w:w="0" w:type="dxa"/>
            <w:right w:w="108" w:type="dxa"/>
          </w:tblCellMar>
        </w:tblPrEx>
        <w:trPr>
          <w:trHeight w:val="60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b/>
                <w:bCs/>
                <w:color w:val="000000"/>
              </w:rPr>
            </w:pPr>
            <w:r>
              <w:rPr>
                <w:rFonts w:hint="eastAsia" w:eastAsia="仿宋_GB2312" w:cs="宋体"/>
                <w:b/>
                <w:bCs/>
                <w:color w:val="000000"/>
                <w:lang w:eastAsia="zh-CN" w:bidi="ar"/>
              </w:rPr>
              <w:t>校园文化建设</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社会主义核心价值观融入高校校园文化建设的方法与途径</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邓 </w:t>
            </w:r>
            <w:r>
              <w:rPr>
                <w:rFonts w:eastAsia="仿宋_GB2312" w:cs="宋体"/>
                <w:color w:val="000000"/>
                <w:lang w:eastAsia="zh-CN" w:bidi="ar"/>
              </w:rPr>
              <w:t xml:space="preserve"> </w:t>
            </w:r>
            <w:r>
              <w:rPr>
                <w:rFonts w:hint="eastAsia" w:eastAsia="仿宋_GB2312" w:cs="宋体"/>
                <w:color w:val="000000"/>
                <w:lang w:eastAsia="zh-CN" w:bidi="ar"/>
              </w:rPr>
              <w:t>斌</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西南政法大学马克思主义学院院长</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文化育人和中职校园文化的构建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 xml:space="preserve">程 </w:t>
            </w:r>
            <w:r>
              <w:rPr>
                <w:rFonts w:eastAsia="仿宋_GB2312" w:cs="宋体"/>
                <w:color w:val="000000"/>
                <w:lang w:eastAsia="zh-CN" w:bidi="ar"/>
              </w:rPr>
              <w:t xml:space="preserve"> </w:t>
            </w:r>
            <w:r>
              <w:rPr>
                <w:rFonts w:hint="eastAsia" w:eastAsia="仿宋_GB2312" w:cs="宋体"/>
                <w:color w:val="000000"/>
                <w:lang w:eastAsia="zh-CN" w:bidi="ar"/>
              </w:rPr>
              <w:t>彬</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北京市商业学校党委书记</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新时期高校文明校园创建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万春梅</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中共湖北省委宣传部文明创建三处处长</w:t>
            </w:r>
          </w:p>
        </w:tc>
      </w:tr>
      <w:tr>
        <w:tblPrEx>
          <w:tblCellMar>
            <w:top w:w="0" w:type="dxa"/>
            <w:left w:w="108" w:type="dxa"/>
            <w:bottom w:w="0" w:type="dxa"/>
            <w:right w:w="108" w:type="dxa"/>
          </w:tblCellMar>
        </w:tblPrEx>
        <w:trPr>
          <w:trHeight w:val="60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_GB2312" w:cs="宋体"/>
                <w:b/>
                <w:bCs/>
                <w:color w:val="000000"/>
                <w:lang w:eastAsia="zh-CN"/>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新时代高校校园新闻写作的规律与技巧</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李铁铮</w:t>
            </w:r>
          </w:p>
        </w:tc>
        <w:tc>
          <w:tcPr>
            <w:tcW w:w="182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北京高校新闻与文化传播研究会创会理事长</w:t>
            </w:r>
          </w:p>
        </w:tc>
      </w:tr>
    </w:tbl>
    <w:p>
      <w:pPr>
        <w:textAlignment w:val="baseline"/>
        <w:rPr>
          <w:rFonts w:eastAsia="仿宋_GB2312" w:cs="仿宋_GB2312"/>
          <w:color w:val="000000" w:themeColor="text1"/>
          <w:lang w:eastAsia="zh-CN"/>
          <w14:textFill>
            <w14:solidFill>
              <w14:schemeClr w14:val="tx1"/>
            </w14:solidFill>
          </w14:textFill>
        </w:rPr>
      </w:pPr>
      <w:r>
        <w:rPr>
          <w:rFonts w:hint="eastAsia" w:eastAsia="仿宋_GB2312" w:cs="仿宋_GB2312"/>
          <w:color w:val="000000" w:themeColor="text1"/>
          <w:lang w:eastAsia="zh-CN"/>
          <w14:textFill>
            <w14:solidFill>
              <w14:schemeClr w14:val="tx1"/>
            </w14:solidFill>
          </w14:textFill>
        </w:rPr>
        <w:t>说明：1.实施中个别课程或稍有调整，请以平台最终发布课程为准；</w:t>
      </w:r>
    </w:p>
    <w:p>
      <w:pPr>
        <w:ind w:firstLine="720" w:firstLineChars="300"/>
        <w:textAlignment w:val="baseline"/>
        <w:rPr>
          <w:rFonts w:eastAsia="仿宋_GB2312" w:cs="仿宋_GB2312"/>
          <w:color w:val="000000" w:themeColor="text1"/>
          <w:lang w:eastAsia="zh-CN"/>
          <w14:textFill>
            <w14:solidFill>
              <w14:schemeClr w14:val="tx1"/>
            </w14:solidFill>
          </w14:textFill>
        </w:rPr>
      </w:pPr>
      <w:r>
        <w:rPr>
          <w:rFonts w:hint="eastAsia" w:eastAsia="仿宋_GB2312" w:cs="仿宋_GB2312"/>
          <w:color w:val="000000" w:themeColor="text1"/>
          <w:lang w:eastAsia="zh-CN"/>
          <w14:textFill>
            <w14:solidFill>
              <w14:schemeClr w14:val="tx1"/>
            </w14:solidFill>
          </w14:textFill>
        </w:rPr>
        <w:t>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GQzM2Y3NDdkZTI0YTM0NjkzYjI5YjkwODA0YjQifQ=="/>
  </w:docVars>
  <w:rsids>
    <w:rsidRoot w:val="36574E1F"/>
    <w:rsid w:val="36574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9"/>
    <w:pPr>
      <w:spacing w:before="100" w:beforeAutospacing="1" w:after="100" w:afterAutospacing="1"/>
      <w:outlineLvl w:val="0"/>
    </w:pPr>
    <w:rPr>
      <w:rFonts w:ascii="宋体" w:hAnsi="宋体" w:eastAsia="宋体" w:cs="宋体"/>
      <w:b/>
      <w:bCs/>
      <w:kern w:val="36"/>
      <w:sz w:val="48"/>
      <w:szCs w:val="48"/>
      <w:lang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6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2022-06-14T10:38:00Z</dcterms:created>
  <dc:creator>lenovo</dc:creator>
  <cp:lastModifiedBy>lenovo</cp:lastModifiedBy>
  <dcterms:modified xsi:type="dcterms:W3CDTF">2022-06-14T10:39:14Z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A57D2A46284940439F6CA2246E92E3B3</vt:lpwstr>
  </property>
</Properties>
</file>