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312"/>
        <w:ind w:left="-120" w:leftChars="-295" w:hanging="588" w:hangingChars="196"/>
        <w:jc w:val="both"/>
        <w:textAlignment w:val="baseline"/>
        <w:rPr>
          <w:rFonts w:ascii="Times New Roman" w:hAnsi="Times New Roman" w:eastAsia="黑体" w:cs="黑体"/>
          <w:b w:val="0"/>
          <w:bCs w:val="0"/>
          <w:sz w:val="30"/>
          <w:szCs w:val="36"/>
        </w:rPr>
      </w:pPr>
      <w:bookmarkStart w:id="0" w:name="_Toc17073"/>
      <w:bookmarkStart w:id="1" w:name="_Toc26505"/>
      <w:bookmarkStart w:id="2" w:name="_Toc2855"/>
      <w:bookmarkStart w:id="3" w:name="_Toc32147"/>
      <w:r>
        <w:rPr>
          <w:rFonts w:hint="eastAsia" w:ascii="Times New Roman" w:hAnsi="Times New Roman" w:eastAsia="黑体" w:cs="黑体"/>
          <w:b w:val="0"/>
          <w:bCs w:val="0"/>
          <w:sz w:val="30"/>
          <w:szCs w:val="36"/>
        </w:rPr>
        <w:t>附件3</w:t>
      </w:r>
      <w:bookmarkEnd w:id="0"/>
      <w:bookmarkEnd w:id="1"/>
      <w:bookmarkEnd w:id="2"/>
      <w:bookmarkEnd w:id="3"/>
    </w:p>
    <w:p>
      <w:pPr>
        <w:pStyle w:val="2"/>
        <w:spacing w:before="156" w:beforeAutospacing="0" w:after="156" w:afterAutospacing="0" w:line="580" w:lineRule="exact"/>
        <w:jc w:val="center"/>
        <w:textAlignment w:val="baseline"/>
        <w:rPr>
          <w:rFonts w:ascii="方正小标宋简体" w:hAnsi="黑体" w:eastAsia="方正小标宋简体" w:cs="黑体"/>
          <w:b w:val="0"/>
          <w:kern w:val="2"/>
          <w:sz w:val="36"/>
          <w:szCs w:val="36"/>
        </w:rPr>
      </w:pPr>
      <w:bookmarkStart w:id="8" w:name="_GoBack"/>
      <w:bookmarkStart w:id="4" w:name="_Toc1907"/>
      <w:bookmarkStart w:id="5" w:name="_Toc5745"/>
      <w:bookmarkStart w:id="6" w:name="_Toc25646"/>
      <w:bookmarkStart w:id="7" w:name="_Toc32633"/>
      <w:r>
        <w:rPr>
          <w:rFonts w:hint="eastAsia" w:ascii="方正小标宋简体" w:hAnsi="黑体" w:eastAsia="方正小标宋简体" w:cs="黑体"/>
          <w:b w:val="0"/>
          <w:kern w:val="2"/>
          <w:sz w:val="36"/>
          <w:szCs w:val="36"/>
        </w:rPr>
        <w:t>统战干部网络培训课程列表</w:t>
      </w:r>
      <w:bookmarkEnd w:id="8"/>
      <w:bookmarkEnd w:id="4"/>
      <w:bookmarkEnd w:id="5"/>
      <w:bookmarkEnd w:id="6"/>
      <w:bookmarkEnd w:id="7"/>
    </w:p>
    <w:tbl>
      <w:tblPr>
        <w:tblStyle w:val="3"/>
        <w:tblW w:w="5850" w:type="pc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744"/>
        <w:gridCol w:w="1049"/>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451" w:type="pct"/>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课程模块</w:t>
            </w:r>
          </w:p>
        </w:tc>
        <w:tc>
          <w:tcPr>
            <w:tcW w:w="2378" w:type="pct"/>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课程名称</w:t>
            </w:r>
          </w:p>
        </w:tc>
        <w:tc>
          <w:tcPr>
            <w:tcW w:w="526" w:type="pct"/>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主讲人</w:t>
            </w:r>
          </w:p>
        </w:tc>
        <w:tc>
          <w:tcPr>
            <w:tcW w:w="1643" w:type="pct"/>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restart"/>
            <w:shd w:val="clear" w:color="auto" w:fill="auto"/>
            <w:vAlign w:val="center"/>
          </w:tcPr>
          <w:p>
            <w:pPr>
              <w:jc w:val="center"/>
              <w:textAlignment w:val="center"/>
              <w:rPr>
                <w:rFonts w:eastAsia="仿宋_GB2312" w:cs="宋体"/>
                <w:b/>
                <w:bCs/>
                <w:color w:val="000000"/>
                <w:lang w:eastAsia="zh-CN"/>
              </w:rPr>
            </w:pPr>
            <w:r>
              <w:rPr>
                <w:rFonts w:hint="eastAsia" w:eastAsia="仿宋_GB2312" w:cs="宋体"/>
                <w:b/>
                <w:bCs/>
                <w:color w:val="000000"/>
                <w:lang w:eastAsia="zh-CN" w:bidi="ar"/>
              </w:rPr>
              <w:t>习近平新时代中国特色社会主义思想</w:t>
            </w:r>
          </w:p>
        </w:tc>
        <w:tc>
          <w:tcPr>
            <w:tcW w:w="237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习总书记关于教育的重要论述</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邓传淮</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教育部政策法规司司长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以史为鉴开创未来的纲领性文献</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王炳林</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深入学习贯彻习近平总书记在“七一”庆祝中国共产党成立100周年大会上的重要讲话精神</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怎样学好用好《习近平新时代中国特色社会主义思想学习问答》</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胡  敏</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学习《习近平谈治国理政》第三卷</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颜晓峰</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天津大学马克思主义学院院长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学习习近平总书记在中央统战工作会议上的重要讲话和《中国共产党统一战线工作条例（试行）》精神</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张  峰</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中央社会主义学院副院长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制度自信与中国之治——学习贯彻习近平总书记系列重要讲话精神</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段治文</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浙江大学马克思主义学院教授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毛泽东思想与习近平新时代中国特色社会主义思想共同历史主线之正确处理社会主要矛盾</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赵岐山</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河北省社会主义学院副教授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restart"/>
            <w:shd w:val="clear" w:color="auto" w:fill="auto"/>
            <w:vAlign w:val="center"/>
          </w:tcPr>
          <w:p>
            <w:pPr>
              <w:jc w:val="center"/>
              <w:textAlignment w:val="center"/>
              <w:rPr>
                <w:rFonts w:eastAsia="仿宋_GB2312" w:cs="宋体"/>
                <w:b/>
                <w:bCs/>
                <w:color w:val="000000"/>
                <w:lang w:eastAsia="zh-CN"/>
              </w:rPr>
            </w:pPr>
            <w:r>
              <w:rPr>
                <w:rFonts w:hint="eastAsia" w:eastAsia="仿宋_GB2312" w:cs="宋体"/>
                <w:b/>
                <w:bCs/>
                <w:color w:val="000000"/>
                <w:lang w:eastAsia="zh-CN" w:bidi="ar"/>
              </w:rPr>
              <w:t>习近平总书记关于加强和改进统一战线工作的重要思想</w:t>
            </w: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深入学习贯彻习近平总书记关于民族工作的重要论述，不断开创民族团结进步事业新局面</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胡  岩</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中共中央党校（国家行政学院）科学社会主义教研部教授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党的百年奋斗的历史经验：坚持统一战线</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刘宏毅 </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中共中央党校(国家行政学院)国际和港澳培训中心主任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《新的历史时期统一战线的方针任务》</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濮  灵</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对外经济贸易大学副教授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习近平总书记关于加强和改进统一战线工作的重要论述</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孙  信</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中央社会主义学院统战理论教研部主任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铸牢中华民族共同体意识 推进党的民族工作高质量发展——学习习近平总书记2021年中央民族工作会议讲话精神</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  军</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中央民族大学中国民族理论与民族政策研究院副院长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restart"/>
            <w:shd w:val="clear" w:color="auto" w:fill="auto"/>
            <w:vAlign w:val="center"/>
          </w:tcPr>
          <w:p>
            <w:pPr>
              <w:jc w:val="center"/>
              <w:textAlignment w:val="center"/>
              <w:rPr>
                <w:rFonts w:eastAsia="仿宋_GB2312" w:cs="宋体"/>
                <w:b/>
                <w:bCs/>
                <w:color w:val="000000"/>
                <w:lang w:eastAsia="zh-CN"/>
              </w:rPr>
            </w:pPr>
            <w:r>
              <w:rPr>
                <w:rFonts w:hint="eastAsia" w:eastAsia="仿宋_GB2312" w:cs="宋体"/>
                <w:b/>
                <w:bCs/>
                <w:color w:val="000000"/>
                <w:lang w:eastAsia="zh-CN" w:bidi="ar"/>
              </w:rPr>
              <w:t>《中国共产党统一战线工作条例》解读</w:t>
            </w: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以改革创新精神推进统一战线工作——《中国共产党统一战线工作条例》解读</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孙  信</w:t>
            </w:r>
          </w:p>
        </w:tc>
        <w:tc>
          <w:tcPr>
            <w:tcW w:w="1643" w:type="pct"/>
            <w:shd w:val="clear" w:color="auto" w:fill="auto"/>
            <w:noWrap/>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中央社会主义学院统战理论教研部主任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从力量论、团结学说开去——学习中央统战工作会议精神和《条例》体会</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  健</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中央统战部研究室主任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restart"/>
            <w:shd w:val="clear" w:color="auto" w:fill="auto"/>
            <w:vAlign w:val="center"/>
          </w:tcPr>
          <w:p>
            <w:pPr>
              <w:jc w:val="center"/>
              <w:textAlignment w:val="center"/>
              <w:rPr>
                <w:rFonts w:eastAsia="仿宋_GB2312" w:cs="宋体"/>
                <w:b/>
                <w:bCs/>
                <w:color w:val="000000"/>
                <w:lang w:eastAsia="zh-CN"/>
              </w:rPr>
            </w:pPr>
            <w:r>
              <w:rPr>
                <w:rFonts w:hint="eastAsia" w:eastAsia="仿宋_GB2312" w:cs="宋体"/>
                <w:b/>
                <w:bCs/>
                <w:color w:val="000000"/>
                <w:lang w:eastAsia="zh-CN" w:bidi="ar"/>
              </w:rPr>
              <w:t>中国特色社会主义政党制度</w:t>
            </w:r>
          </w:p>
        </w:tc>
        <w:tc>
          <w:tcPr>
            <w:tcW w:w="2378" w:type="pct"/>
            <w:shd w:val="clear" w:color="auto" w:fill="auto"/>
            <w:noWrap/>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如何开好民主生活会  ——《县以上党和国家机关党员领导干部民主生活会若干规定》解读</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1643"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坚持和完善新型政党制度——学习习近平总书记关于多党合作的论述</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李小宁</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中央社会主义学院统战理论教研部原副主任、教授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中国共产党百年历程与政党认同——光辉的历程、未来的挑战</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柴宝勇</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中国社会科学院大学（研究生院）管理学院执行院长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党的基本知识系列微课——政党的基础知识</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微  课</w:t>
            </w:r>
          </w:p>
        </w:tc>
        <w:tc>
          <w:tcPr>
            <w:tcW w:w="1643" w:type="pct"/>
            <w:shd w:val="clear" w:color="auto" w:fill="auto"/>
            <w:vAlign w:val="center"/>
          </w:tcPr>
          <w:p>
            <w:pPr>
              <w:rPr>
                <w:rFonts w:eastAsia="仿宋_GB2312"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中国优秀传统文化</w:t>
            </w:r>
          </w:p>
        </w:tc>
        <w:tc>
          <w:tcPr>
            <w:tcW w:w="2378" w:type="pct"/>
            <w:shd w:val="clear" w:color="auto" w:fill="auto"/>
            <w:noWrap/>
            <w:vAlign w:val="center"/>
          </w:tcPr>
          <w:p>
            <w:pPr>
              <w:jc w:val="both"/>
              <w:textAlignment w:val="center"/>
              <w:rPr>
                <w:rFonts w:eastAsia="仿宋_GB2312" w:cs="宋体"/>
                <w:color w:val="000000"/>
              </w:rPr>
            </w:pPr>
            <w:r>
              <w:rPr>
                <w:rFonts w:hint="eastAsia" w:eastAsia="仿宋_GB2312" w:cs="宋体"/>
                <w:color w:val="000000"/>
                <w:lang w:eastAsia="zh-CN" w:bidi="ar"/>
              </w:rPr>
              <w:t>中外人文交流工作</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夏  娟</w:t>
            </w:r>
          </w:p>
        </w:tc>
        <w:tc>
          <w:tcPr>
            <w:tcW w:w="1643"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教育部中外人文交流中心副主任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坚定文化自信 推动社会主义文化强国建设</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范玉刚</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中国传统文化的基本精神与现代传承</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韩  星</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中国人民大学国学院教授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新时代全国应急文化建设与发展的战略思考</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颜  烨</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华北科技学院文法学院教授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文化自信与社会主义文化繁荣发展</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叶方兴</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华东师范大学马克思主义学院讲师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中华文化与港澳台海外统战工作</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田飞龙</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北京航空航天大学人文与社会科学高等研究院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繁荣发展文化事业和文化产业，提高国家文化软实力</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张国祚</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中国文化软实力研究中心主任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民族宗教工作政策</w:t>
            </w: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深入学习领会习近平总书记关于宗教工作重要论述，扎实做好新时代的宗教工作</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蒲长春 </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中共中央党校(国家行政学院)民族和宗教教研室副主任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弘扬中华民族精神，铸牢中华民族共同体意识</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王  军</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中央民族大学中国民族理论与民族政策研究院副院长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学习领会习近平总书记关于宗教工作的重要论述</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张  践</w:t>
            </w:r>
          </w:p>
        </w:tc>
        <w:tc>
          <w:tcPr>
            <w:tcW w:w="1643"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中国人民大学教授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坚持中国特色解决民族问题的正确道路 铸牢中华民族共同体意识——深入学习贯彻习近平总书记关于民族工作重要讲话精神</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贺  斐</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内蒙古农业大学职业技术学院建筑工程技术系党总支书记、副教授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中国共产党领导下的中华民族命运共同体</w:t>
            </w:r>
          </w:p>
        </w:tc>
        <w:tc>
          <w:tcPr>
            <w:tcW w:w="526"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陈丽明</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中央民族大学中国民族理论与民族政策研究院讲师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建言献策和参政议政</w:t>
            </w:r>
          </w:p>
        </w:tc>
        <w:tc>
          <w:tcPr>
            <w:tcW w:w="2378"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当前民主党派的工作</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李金河</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中央社会主义学院二级教授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高校院（系）党政联席会议制度完善路径的实践探索</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嵇绍岭</w:t>
            </w:r>
          </w:p>
        </w:tc>
        <w:tc>
          <w:tcPr>
            <w:tcW w:w="1643"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上海交通大学生命科学技术学院党委书记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 w:type="pct"/>
            <w:vMerge w:val="continue"/>
            <w:shd w:val="clear" w:color="auto" w:fill="auto"/>
            <w:vAlign w:val="center"/>
          </w:tcPr>
          <w:p>
            <w:pPr>
              <w:jc w:val="center"/>
              <w:rPr>
                <w:rFonts w:eastAsia="仿宋_GB2312" w:cs="宋体"/>
                <w:b/>
                <w:bCs/>
                <w:color w:val="000000"/>
                <w:lang w:eastAsia="zh-CN"/>
              </w:rPr>
            </w:pPr>
          </w:p>
        </w:tc>
        <w:tc>
          <w:tcPr>
            <w:tcW w:w="2378" w:type="pct"/>
            <w:shd w:val="clear" w:color="auto" w:fill="auto"/>
            <w:noWrap/>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发展社会主义协商民主——习近平新时代中国特色社会主义思想系列微视频</w:t>
            </w:r>
          </w:p>
        </w:tc>
        <w:tc>
          <w:tcPr>
            <w:tcW w:w="526"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微  课</w:t>
            </w:r>
          </w:p>
        </w:tc>
        <w:tc>
          <w:tcPr>
            <w:tcW w:w="1643" w:type="pct"/>
            <w:shd w:val="clear" w:color="auto" w:fill="auto"/>
            <w:vAlign w:val="center"/>
          </w:tcPr>
          <w:p>
            <w:pPr>
              <w:rPr>
                <w:rFonts w:eastAsia="仿宋_GB2312" w:cs="宋体"/>
                <w:color w:val="000000"/>
              </w:rPr>
            </w:pPr>
          </w:p>
        </w:tc>
      </w:tr>
    </w:tbl>
    <w:p>
      <w:pPr>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说明：1.实施中个别课程或稍有调整，请以平台最终发布课程为准；</w:t>
      </w:r>
    </w:p>
    <w:p>
      <w:pPr>
        <w:ind w:firstLine="720" w:firstLineChars="300"/>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GQzM2Y3NDdkZTI0YTM0NjkzYjI5YjkwODA0YjQifQ=="/>
  </w:docVars>
  <w:rsids>
    <w:rsidRoot w:val="6C6817CE"/>
    <w:rsid w:val="6C681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lang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2022-06-14T10:40:00Z</dcterms:created>
  <dc:creator>lenovo</dc:creator>
  <cp:lastModifiedBy>lenovo</cp:lastModifiedBy>
  <dcterms:modified xsi:type="dcterms:W3CDTF">2022-06-14T10:40:43Z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08487257144E4EEB85E8C19995630D46</vt:lpwstr>
  </property>
</Properties>
</file>