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after="312"/>
        <w:ind w:left="-71" w:leftChars="-177" w:hanging="354" w:hangingChars="118"/>
        <w:jc w:val="both"/>
        <w:textAlignment w:val="baseline"/>
        <w:rPr>
          <w:rFonts w:ascii="Times New Roman" w:hAnsi="Times New Roman" w:eastAsia="黑体" w:cs="黑体"/>
          <w:b w:val="0"/>
          <w:bCs w:val="0"/>
          <w:sz w:val="30"/>
          <w:szCs w:val="36"/>
        </w:rPr>
      </w:pPr>
      <w:bookmarkStart w:id="0" w:name="_Toc30969"/>
      <w:bookmarkStart w:id="1" w:name="_Toc4742"/>
      <w:bookmarkStart w:id="2" w:name="_Toc7603"/>
      <w:bookmarkStart w:id="3" w:name="_Toc15867"/>
      <w:r>
        <w:rPr>
          <w:rFonts w:hint="eastAsia" w:ascii="Times New Roman" w:hAnsi="Times New Roman" w:eastAsia="黑体" w:cs="黑体"/>
          <w:b w:val="0"/>
          <w:bCs w:val="0"/>
          <w:sz w:val="30"/>
          <w:szCs w:val="36"/>
        </w:rPr>
        <w:t>附件5</w:t>
      </w:r>
      <w:bookmarkEnd w:id="0"/>
      <w:bookmarkEnd w:id="1"/>
      <w:bookmarkEnd w:id="2"/>
      <w:bookmarkEnd w:id="3"/>
    </w:p>
    <w:p>
      <w:pPr>
        <w:pStyle w:val="2"/>
        <w:spacing w:before="156" w:beforeAutospacing="0" w:after="156" w:afterAutospacing="0" w:line="580" w:lineRule="exact"/>
        <w:jc w:val="center"/>
        <w:textAlignment w:val="baseline"/>
        <w:rPr>
          <w:rFonts w:ascii="方正小标宋简体" w:hAnsi="黑体" w:eastAsia="方正小标宋简体" w:cs="黑体"/>
          <w:b w:val="0"/>
          <w:kern w:val="2"/>
          <w:sz w:val="36"/>
          <w:szCs w:val="36"/>
        </w:rPr>
      </w:pPr>
      <w:bookmarkStart w:id="8" w:name="_GoBack"/>
      <w:bookmarkStart w:id="4" w:name="_Toc17433"/>
      <w:bookmarkStart w:id="5" w:name="_Toc7589"/>
      <w:bookmarkStart w:id="6" w:name="_Toc21676"/>
      <w:bookmarkStart w:id="7" w:name="_Toc11989"/>
      <w:r>
        <w:rPr>
          <w:rFonts w:hint="eastAsia" w:ascii="方正小标宋简体" w:hAnsi="黑体" w:eastAsia="方正小标宋简体" w:cs="黑体"/>
          <w:b w:val="0"/>
          <w:kern w:val="2"/>
          <w:sz w:val="36"/>
          <w:szCs w:val="36"/>
        </w:rPr>
        <w:t>教务干部网络培训课程列表</w:t>
      </w:r>
      <w:bookmarkEnd w:id="4"/>
      <w:bookmarkEnd w:id="5"/>
      <w:bookmarkEnd w:id="6"/>
      <w:bookmarkEnd w:id="7"/>
    </w:p>
    <w:bookmarkEnd w:id="8"/>
    <w:tbl>
      <w:tblPr>
        <w:tblStyle w:val="3"/>
        <w:tblW w:w="5796" w:type="pct"/>
        <w:tblInd w:w="-7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3939"/>
        <w:gridCol w:w="1010"/>
        <w:gridCol w:w="4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shd w:val="clear" w:color="auto" w:fill="auto"/>
            <w:vAlign w:val="center"/>
          </w:tcPr>
          <w:p>
            <w:pPr>
              <w:jc w:val="center"/>
              <w:textAlignment w:val="center"/>
              <w:rPr>
                <w:rFonts w:ascii="黑体" w:hAnsi="黑体" w:eastAsia="黑体" w:cs="黑体"/>
                <w:color w:val="000000"/>
              </w:rPr>
            </w:pPr>
            <w:r>
              <w:rPr>
                <w:rFonts w:hint="eastAsia" w:ascii="黑体" w:hAnsi="黑体" w:eastAsia="黑体" w:cs="黑体"/>
                <w:color w:val="000000"/>
                <w:lang w:eastAsia="zh-CN" w:bidi="ar"/>
              </w:rPr>
              <w:t>课程模块</w:t>
            </w:r>
          </w:p>
        </w:tc>
        <w:tc>
          <w:tcPr>
            <w:tcW w:w="1993" w:type="pct"/>
            <w:shd w:val="clear" w:color="auto" w:fill="auto"/>
            <w:vAlign w:val="center"/>
          </w:tcPr>
          <w:p>
            <w:pPr>
              <w:jc w:val="center"/>
              <w:textAlignment w:val="center"/>
              <w:rPr>
                <w:rFonts w:ascii="黑体" w:hAnsi="黑体" w:eastAsia="黑体" w:cs="黑体"/>
                <w:color w:val="000000"/>
              </w:rPr>
            </w:pPr>
            <w:r>
              <w:rPr>
                <w:rFonts w:hint="eastAsia" w:ascii="黑体" w:hAnsi="黑体" w:eastAsia="黑体" w:cs="黑体"/>
                <w:color w:val="000000"/>
                <w:lang w:eastAsia="zh-CN" w:bidi="ar"/>
              </w:rPr>
              <w:t>课程名称</w:t>
            </w:r>
          </w:p>
        </w:tc>
        <w:tc>
          <w:tcPr>
            <w:tcW w:w="511" w:type="pct"/>
            <w:shd w:val="clear" w:color="auto" w:fill="auto"/>
            <w:noWrap/>
            <w:vAlign w:val="center"/>
          </w:tcPr>
          <w:p>
            <w:pPr>
              <w:jc w:val="center"/>
              <w:textAlignment w:val="center"/>
              <w:rPr>
                <w:rFonts w:ascii="黑体" w:hAnsi="黑体" w:eastAsia="黑体" w:cs="黑体"/>
                <w:color w:val="000000"/>
              </w:rPr>
            </w:pPr>
            <w:r>
              <w:rPr>
                <w:rFonts w:hint="eastAsia" w:ascii="黑体" w:hAnsi="黑体" w:eastAsia="黑体" w:cs="黑体"/>
                <w:color w:val="000000"/>
                <w:lang w:eastAsia="zh-CN" w:bidi="ar"/>
              </w:rPr>
              <w:t>主讲人</w:t>
            </w:r>
          </w:p>
        </w:tc>
        <w:tc>
          <w:tcPr>
            <w:tcW w:w="2039" w:type="pct"/>
            <w:shd w:val="clear" w:color="auto" w:fill="auto"/>
            <w:noWrap/>
            <w:vAlign w:val="center"/>
          </w:tcPr>
          <w:p>
            <w:pPr>
              <w:jc w:val="center"/>
              <w:textAlignment w:val="center"/>
              <w:rPr>
                <w:rFonts w:ascii="黑体" w:hAnsi="黑体" w:eastAsia="黑体" w:cs="黑体"/>
                <w:color w:val="000000"/>
              </w:rPr>
            </w:pPr>
            <w:r>
              <w:rPr>
                <w:rFonts w:hint="eastAsia" w:ascii="黑体" w:hAnsi="黑体" w:eastAsia="黑体" w:cs="黑体"/>
                <w:color w:val="000000"/>
                <w:lang w:eastAsia="zh-CN" w:bidi="ar"/>
              </w:rPr>
              <w:t>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restart"/>
            <w:shd w:val="clear" w:color="auto" w:fill="auto"/>
            <w:vAlign w:val="center"/>
          </w:tcPr>
          <w:p>
            <w:pPr>
              <w:jc w:val="center"/>
              <w:textAlignment w:val="center"/>
              <w:rPr>
                <w:rFonts w:eastAsia="仿宋_GB2312" w:cs="宋体"/>
                <w:b/>
                <w:bCs/>
                <w:color w:val="000000"/>
                <w:szCs w:val="28"/>
                <w:lang w:eastAsia="zh-CN"/>
              </w:rPr>
            </w:pPr>
            <w:r>
              <w:rPr>
                <w:rFonts w:hint="eastAsia" w:eastAsia="仿宋_GB2312" w:cs="宋体"/>
                <w:b/>
                <w:bCs/>
                <w:color w:val="000000"/>
                <w:szCs w:val="28"/>
                <w:lang w:eastAsia="zh-CN" w:bidi="ar"/>
              </w:rPr>
              <w:t>高等教育改革发展形势任务</w:t>
            </w: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学习贯彻全国教育大会精神，推动教师教育创新发展</w:t>
            </w:r>
          </w:p>
        </w:tc>
        <w:tc>
          <w:tcPr>
            <w:tcW w:w="511"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王定华</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教育部教师工作司司长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lang w:eastAsia="zh-CN"/>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坚持立德树人，建设教育强国——学习《习近平总书记教育重要论述讲义》</w:t>
            </w:r>
          </w:p>
        </w:tc>
        <w:tc>
          <w:tcPr>
            <w:tcW w:w="511"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王炳林</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教育部高等学校社会科学发展研究中心主任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lang w:eastAsia="zh-CN"/>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新时代教育评价理论与实践（上）</w:t>
            </w:r>
          </w:p>
        </w:tc>
        <w:tc>
          <w:tcPr>
            <w:tcW w:w="511"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林梦泉</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教育部学位与研究生教育发展中心原副主任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lang w:eastAsia="zh-CN"/>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深入学习贯彻习近平总书记在“七一”庆祝中国共产党成立100周年大会上的重要讲话精神</w:t>
            </w:r>
          </w:p>
        </w:tc>
        <w:tc>
          <w:tcPr>
            <w:tcW w:w="511"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刘  春</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lang w:eastAsia="zh-CN"/>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加快推进新时代研究生教育改革发展——深入学习贯彻习近平总书记关于研究生教育工作的重要指示精神</w:t>
            </w:r>
          </w:p>
        </w:tc>
        <w:tc>
          <w:tcPr>
            <w:tcW w:w="511"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马陆亭</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教育部教育发展研究中心高教室主任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lang w:eastAsia="zh-CN"/>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深入学习贯彻党的十九届六中全会精神——从党的百年奋斗历史经验看人民教育千秋基业</w:t>
            </w:r>
          </w:p>
        </w:tc>
        <w:tc>
          <w:tcPr>
            <w:tcW w:w="511"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张  力</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国家教育咨询委员会秘书长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restart"/>
            <w:shd w:val="clear" w:color="auto" w:fill="auto"/>
            <w:vAlign w:val="center"/>
          </w:tcPr>
          <w:p>
            <w:pPr>
              <w:jc w:val="center"/>
              <w:textAlignment w:val="center"/>
              <w:rPr>
                <w:rFonts w:eastAsia="仿宋_GB2312" w:cs="宋体"/>
                <w:b/>
                <w:bCs/>
                <w:color w:val="000000"/>
                <w:szCs w:val="28"/>
                <w:lang w:eastAsia="zh-CN"/>
              </w:rPr>
            </w:pPr>
            <w:r>
              <w:rPr>
                <w:rFonts w:hint="eastAsia" w:eastAsia="仿宋_GB2312" w:cs="宋体"/>
                <w:b/>
                <w:bCs/>
                <w:color w:val="000000"/>
                <w:szCs w:val="28"/>
                <w:lang w:eastAsia="zh-CN" w:bidi="ar"/>
              </w:rPr>
              <w:t>人才培养模式改革创新</w:t>
            </w: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深入实施新时代人才强国战略加快建设世界重要人才中心和创新高地——认真学习领会习近平总书记在中央人才工作会议的重要讲话精神</w:t>
            </w:r>
          </w:p>
        </w:tc>
        <w:tc>
          <w:tcPr>
            <w:tcW w:w="511"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李克实</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中国人才研究会副会长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lang w:eastAsia="zh-CN"/>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后疫情背景下 教育信息化赋能创新人才培养——华中师范大学的探索与实践</w:t>
            </w:r>
          </w:p>
        </w:tc>
        <w:tc>
          <w:tcPr>
            <w:tcW w:w="511"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夏立新</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华中师范大学党委常委、副校长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lang w:eastAsia="zh-CN"/>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基于OBE理念的本科人才培养方案设计——目标设定</w:t>
            </w:r>
          </w:p>
        </w:tc>
        <w:tc>
          <w:tcPr>
            <w:tcW w:w="511"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孙建荣</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澳门科技大学协理副校长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lang w:eastAsia="zh-CN"/>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大学人才培养与教育改革：理念与实践</w:t>
            </w:r>
          </w:p>
        </w:tc>
        <w:tc>
          <w:tcPr>
            <w:tcW w:w="511"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柯炳生</w:t>
            </w:r>
          </w:p>
        </w:tc>
        <w:tc>
          <w:tcPr>
            <w:tcW w:w="2039" w:type="pct"/>
            <w:shd w:val="clear" w:color="auto" w:fill="auto"/>
            <w:vAlign w:val="center"/>
          </w:tcPr>
          <w:p>
            <w:pPr>
              <w:textAlignment w:val="center"/>
              <w:rPr>
                <w:rFonts w:eastAsia="仿宋_GB2312" w:cs="宋体"/>
                <w:color w:val="000000"/>
              </w:rPr>
            </w:pPr>
            <w:r>
              <w:rPr>
                <w:rFonts w:hint="eastAsia" w:eastAsia="仿宋_GB2312" w:cs="宋体"/>
                <w:color w:val="000000"/>
                <w:lang w:eastAsia="zh-CN" w:bidi="ar"/>
              </w:rPr>
              <w:t>中国农业大学原校长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助力乡村振兴的“四位一体”——应用型人才培养模式创新与实践</w:t>
            </w:r>
          </w:p>
        </w:tc>
        <w:tc>
          <w:tcPr>
            <w:tcW w:w="511" w:type="pct"/>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刘  健</w:t>
            </w:r>
          </w:p>
        </w:tc>
        <w:tc>
          <w:tcPr>
            <w:tcW w:w="2039" w:type="pct"/>
            <w:shd w:val="clear" w:color="auto" w:fill="auto"/>
            <w:vAlign w:val="center"/>
          </w:tcPr>
          <w:p>
            <w:pPr>
              <w:textAlignment w:val="center"/>
              <w:rPr>
                <w:rFonts w:eastAsia="仿宋_GB2312" w:cs="宋体"/>
                <w:color w:val="000000"/>
              </w:rPr>
            </w:pPr>
            <w:r>
              <w:rPr>
                <w:rFonts w:hint="eastAsia" w:eastAsia="仿宋_GB2312" w:cs="宋体"/>
                <w:color w:val="000000"/>
                <w:lang w:eastAsia="zh-CN" w:bidi="ar"/>
              </w:rPr>
              <w:t>三明学院院长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如何建设一支矢志爱国奉献、勇于创新创造的优秀人才队伍</w:t>
            </w:r>
          </w:p>
        </w:tc>
        <w:tc>
          <w:tcPr>
            <w:tcW w:w="511"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微  课</w:t>
            </w:r>
          </w:p>
        </w:tc>
        <w:tc>
          <w:tcPr>
            <w:tcW w:w="2039" w:type="pct"/>
            <w:shd w:val="clear" w:color="auto" w:fill="auto"/>
            <w:vAlign w:val="center"/>
          </w:tcPr>
          <w:p>
            <w:pPr>
              <w:rPr>
                <w:rFonts w:eastAsia="仿宋_GB2312"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restart"/>
            <w:shd w:val="clear" w:color="auto" w:fill="auto"/>
            <w:vAlign w:val="center"/>
          </w:tcPr>
          <w:p>
            <w:pPr>
              <w:jc w:val="center"/>
              <w:textAlignment w:val="center"/>
              <w:rPr>
                <w:rFonts w:eastAsia="仿宋_GB2312" w:cs="宋体"/>
                <w:b/>
                <w:bCs/>
                <w:color w:val="000000"/>
                <w:szCs w:val="28"/>
              </w:rPr>
            </w:pPr>
            <w:r>
              <w:rPr>
                <w:rFonts w:hint="eastAsia" w:eastAsia="仿宋_GB2312" w:cs="宋体"/>
                <w:b/>
                <w:bCs/>
                <w:color w:val="000000"/>
                <w:szCs w:val="28"/>
                <w:lang w:eastAsia="zh-CN" w:bidi="ar"/>
              </w:rPr>
              <w:t>学科建设</w:t>
            </w: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“双一流”背景下高等学校学科建设策略分析——以西北大学地质学科为例</w:t>
            </w:r>
          </w:p>
        </w:tc>
        <w:tc>
          <w:tcPr>
            <w:tcW w:w="511" w:type="pct"/>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赖绍聪</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西北大学党委常委、副校长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lang w:eastAsia="zh-CN"/>
              </w:rPr>
            </w:pPr>
          </w:p>
        </w:tc>
        <w:tc>
          <w:tcPr>
            <w:tcW w:w="1993" w:type="pct"/>
            <w:shd w:val="clear" w:color="auto" w:fill="auto"/>
            <w:vAlign w:val="center"/>
          </w:tcPr>
          <w:p>
            <w:pPr>
              <w:textAlignment w:val="center"/>
              <w:rPr>
                <w:rFonts w:eastAsia="仿宋_GB2312" w:cs="宋体"/>
                <w:color w:val="000000"/>
              </w:rPr>
            </w:pPr>
            <w:r>
              <w:rPr>
                <w:rFonts w:hint="eastAsia" w:eastAsia="仿宋_GB2312" w:cs="宋体"/>
                <w:color w:val="000000"/>
                <w:lang w:eastAsia="zh-CN" w:bidi="ar"/>
              </w:rPr>
              <w:t>地方高校的学科建设</w:t>
            </w:r>
          </w:p>
        </w:tc>
        <w:tc>
          <w:tcPr>
            <w:tcW w:w="511" w:type="pct"/>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屈凌波</w:t>
            </w:r>
          </w:p>
        </w:tc>
        <w:tc>
          <w:tcPr>
            <w:tcW w:w="2039" w:type="pct"/>
            <w:shd w:val="clear" w:color="auto" w:fill="auto"/>
            <w:vAlign w:val="center"/>
          </w:tcPr>
          <w:p>
            <w:pPr>
              <w:textAlignment w:val="center"/>
              <w:rPr>
                <w:rFonts w:eastAsia="仿宋_GB2312" w:cs="宋体"/>
                <w:color w:val="000000"/>
              </w:rPr>
            </w:pPr>
            <w:r>
              <w:rPr>
                <w:rFonts w:hint="eastAsia" w:eastAsia="仿宋_GB2312" w:cs="宋体"/>
                <w:color w:val="000000"/>
                <w:lang w:eastAsia="zh-CN" w:bidi="ar"/>
              </w:rPr>
              <w:t>郑州大学副校长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一流学科引领高水平大学建设</w:t>
            </w:r>
          </w:p>
        </w:tc>
        <w:tc>
          <w:tcPr>
            <w:tcW w:w="511"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李北群</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南京信息工程大学党委副书记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lang w:eastAsia="zh-CN"/>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一流党建一流学科建设双促双进</w:t>
            </w:r>
          </w:p>
        </w:tc>
        <w:tc>
          <w:tcPr>
            <w:tcW w:w="511"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赵放辉</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中国石油大学（华东）石油工程学院党委书记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restart"/>
            <w:shd w:val="clear" w:color="auto" w:fill="auto"/>
            <w:vAlign w:val="center"/>
          </w:tcPr>
          <w:p>
            <w:pPr>
              <w:jc w:val="center"/>
              <w:textAlignment w:val="center"/>
              <w:rPr>
                <w:rFonts w:eastAsia="仿宋_GB2312" w:cs="宋体"/>
                <w:b/>
                <w:bCs/>
                <w:color w:val="000000"/>
                <w:szCs w:val="28"/>
              </w:rPr>
            </w:pPr>
            <w:r>
              <w:rPr>
                <w:rFonts w:hint="eastAsia" w:eastAsia="仿宋_GB2312" w:cs="宋体"/>
                <w:b/>
                <w:bCs/>
                <w:color w:val="000000"/>
                <w:szCs w:val="28"/>
                <w:lang w:eastAsia="zh-CN" w:bidi="ar"/>
              </w:rPr>
              <w:t>专业建设</w:t>
            </w: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一流专业主要标准与建设策略</w:t>
            </w:r>
          </w:p>
        </w:tc>
        <w:tc>
          <w:tcPr>
            <w:tcW w:w="511"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刘振天</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厦门大学教育研究院特聘教授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lang w:eastAsia="zh-CN"/>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专业认证通关典型案例与经验分析</w:t>
            </w:r>
          </w:p>
        </w:tc>
        <w:tc>
          <w:tcPr>
            <w:tcW w:w="511"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李  芳</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对外经济贸易大学副研究员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lang w:eastAsia="zh-CN"/>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专业认证视角下的专业与课程建设</w:t>
            </w:r>
          </w:p>
        </w:tc>
        <w:tc>
          <w:tcPr>
            <w:tcW w:w="511"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李  芳</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对外经济贸易大学副研究员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lang w:eastAsia="zh-CN"/>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一流专业建设的施工路径与施工队伍</w:t>
            </w:r>
          </w:p>
        </w:tc>
        <w:tc>
          <w:tcPr>
            <w:tcW w:w="511"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李丹青</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浙江大学工程师学院兼任教授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lang w:eastAsia="zh-CN"/>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专业课课程思政教学比赛的备战方法</w:t>
            </w:r>
          </w:p>
        </w:tc>
        <w:tc>
          <w:tcPr>
            <w:tcW w:w="511"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夏永林</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西安电子科技大学人文学院教授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restart"/>
            <w:shd w:val="clear" w:color="auto" w:fill="auto"/>
            <w:vAlign w:val="center"/>
          </w:tcPr>
          <w:p>
            <w:pPr>
              <w:jc w:val="center"/>
              <w:textAlignment w:val="center"/>
              <w:rPr>
                <w:rFonts w:eastAsia="仿宋_GB2312" w:cs="宋体"/>
                <w:b/>
                <w:bCs/>
                <w:color w:val="000000"/>
                <w:szCs w:val="28"/>
              </w:rPr>
            </w:pPr>
            <w:r>
              <w:rPr>
                <w:rFonts w:hint="eastAsia" w:eastAsia="仿宋_GB2312" w:cs="宋体"/>
                <w:b/>
                <w:bCs/>
                <w:color w:val="000000"/>
                <w:szCs w:val="28"/>
                <w:lang w:eastAsia="zh-CN" w:bidi="ar"/>
              </w:rPr>
              <w:t>课程建设</w:t>
            </w: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一流课程评审指标解读</w:t>
            </w:r>
          </w:p>
        </w:tc>
        <w:tc>
          <w:tcPr>
            <w:tcW w:w="511"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马昱春</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清华大学计算机系副教授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lang w:eastAsia="zh-CN"/>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基于OBE理念的本科人才培养方案设计——毕业要求与课程设置</w:t>
            </w:r>
          </w:p>
        </w:tc>
        <w:tc>
          <w:tcPr>
            <w:tcW w:w="511"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孙建荣</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澳门科技大学协理副校长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lang w:eastAsia="zh-CN"/>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OBE视角下的课程设计——反向教学设计</w:t>
            </w:r>
          </w:p>
        </w:tc>
        <w:tc>
          <w:tcPr>
            <w:tcW w:w="511"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李笃峰</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西安欧亚学院教师发展中心咨询部主任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lang w:eastAsia="zh-CN"/>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线上线下混合式一流课程的建设与申报</w:t>
            </w:r>
          </w:p>
        </w:tc>
        <w:tc>
          <w:tcPr>
            <w:tcW w:w="511"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余建波</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上海交通大学教务处在线课程建设负责人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lang w:eastAsia="zh-CN"/>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双师型队伍建设与应用型课程开发</w:t>
            </w:r>
          </w:p>
        </w:tc>
        <w:tc>
          <w:tcPr>
            <w:tcW w:w="511"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王昊欣</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河北民族师范学院转型办副主任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restart"/>
            <w:shd w:val="clear" w:color="auto" w:fill="auto"/>
            <w:vAlign w:val="center"/>
          </w:tcPr>
          <w:p>
            <w:pPr>
              <w:jc w:val="center"/>
              <w:textAlignment w:val="center"/>
              <w:rPr>
                <w:rFonts w:eastAsia="仿宋_GB2312" w:cs="宋体"/>
                <w:b/>
                <w:bCs/>
                <w:color w:val="000000"/>
                <w:szCs w:val="28"/>
              </w:rPr>
            </w:pPr>
            <w:r>
              <w:rPr>
                <w:rFonts w:hint="eastAsia" w:eastAsia="仿宋_GB2312" w:cs="宋体"/>
                <w:b/>
                <w:bCs/>
                <w:color w:val="000000"/>
                <w:szCs w:val="28"/>
                <w:lang w:eastAsia="zh-CN" w:bidi="ar"/>
              </w:rPr>
              <w:t>教师队伍建设</w:t>
            </w: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改革教师评价 建设高素质专业化创新型教师队伍</w:t>
            </w:r>
          </w:p>
        </w:tc>
        <w:tc>
          <w:tcPr>
            <w:tcW w:w="511" w:type="pct"/>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任友群</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教育部教师工作司司长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lang w:eastAsia="zh-CN"/>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《研究生导师指导行为准则》解读与落实要点</w:t>
            </w:r>
          </w:p>
        </w:tc>
        <w:tc>
          <w:tcPr>
            <w:tcW w:w="511" w:type="pct"/>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李丹青</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教育部高等学校工业工程类专业教学指导委员会委员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lang w:eastAsia="zh-CN"/>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加强教师队伍建设 实现高校内涵发展</w:t>
            </w:r>
          </w:p>
        </w:tc>
        <w:tc>
          <w:tcPr>
            <w:tcW w:w="511" w:type="pct"/>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钟秉林</w:t>
            </w:r>
          </w:p>
        </w:tc>
        <w:tc>
          <w:tcPr>
            <w:tcW w:w="2039" w:type="pct"/>
            <w:shd w:val="clear" w:color="auto" w:fill="auto"/>
            <w:vAlign w:val="center"/>
          </w:tcPr>
          <w:p>
            <w:pPr>
              <w:textAlignment w:val="center"/>
              <w:rPr>
                <w:rFonts w:eastAsia="仿宋_GB2312" w:cs="宋体"/>
                <w:color w:val="000000"/>
              </w:rPr>
            </w:pPr>
            <w:r>
              <w:rPr>
                <w:rFonts w:hint="eastAsia" w:eastAsia="仿宋_GB2312" w:cs="宋体"/>
                <w:color w:val="000000"/>
                <w:lang w:eastAsia="zh-CN" w:bidi="ar"/>
              </w:rPr>
              <w:t>中国教育学会会长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新时代教师队伍建设新策略</w:t>
            </w:r>
          </w:p>
        </w:tc>
        <w:tc>
          <w:tcPr>
            <w:tcW w:w="511" w:type="pct"/>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高书国</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中国教育学会副秘书长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lang w:eastAsia="zh-CN"/>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建立高水平现代教师教育体系，培养高素质专业化创新型教师队伍</w:t>
            </w:r>
          </w:p>
        </w:tc>
        <w:tc>
          <w:tcPr>
            <w:tcW w:w="511" w:type="pct"/>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卿素兰</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中国教育科学研究院教师发展研究所副所长副所长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restart"/>
            <w:shd w:val="clear" w:color="auto" w:fill="auto"/>
            <w:vAlign w:val="center"/>
          </w:tcPr>
          <w:p>
            <w:pPr>
              <w:jc w:val="center"/>
              <w:textAlignment w:val="center"/>
              <w:rPr>
                <w:rFonts w:eastAsia="仿宋_GB2312" w:cs="宋体"/>
                <w:b/>
                <w:bCs/>
                <w:color w:val="000000"/>
                <w:szCs w:val="28"/>
              </w:rPr>
            </w:pPr>
            <w:r>
              <w:rPr>
                <w:rFonts w:hint="eastAsia" w:eastAsia="仿宋_GB2312" w:cs="宋体"/>
                <w:b/>
                <w:bCs/>
                <w:color w:val="000000"/>
                <w:szCs w:val="28"/>
                <w:lang w:eastAsia="zh-CN" w:bidi="ar"/>
              </w:rPr>
              <w:t>基层教学组织建设</w:t>
            </w: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大学重建基层教学组织的必要性</w:t>
            </w:r>
          </w:p>
        </w:tc>
        <w:tc>
          <w:tcPr>
            <w:tcW w:w="511" w:type="pct"/>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汤  智</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浙江工业大学教育科学与技术学院教授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lang w:eastAsia="zh-CN"/>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大学基层教学组织的现状与问题</w:t>
            </w:r>
          </w:p>
        </w:tc>
        <w:tc>
          <w:tcPr>
            <w:tcW w:w="511" w:type="pct"/>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汤  智</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浙江工业大学教育科学与技术学院教授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lang w:eastAsia="zh-CN"/>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高校基层教学组织建设内容、路径和工作模式</w:t>
            </w:r>
          </w:p>
        </w:tc>
        <w:tc>
          <w:tcPr>
            <w:tcW w:w="511" w:type="pct"/>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司  莉</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河南财经政法大学法学教授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lang w:eastAsia="zh-CN"/>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基层教学组织的功能和生命共同体构建</w:t>
            </w:r>
          </w:p>
        </w:tc>
        <w:tc>
          <w:tcPr>
            <w:tcW w:w="511" w:type="pct"/>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陈庆章</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浙江工业大学计算机科学与技术学院、软件学院原党委书记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restart"/>
            <w:shd w:val="clear" w:color="auto" w:fill="auto"/>
            <w:vAlign w:val="center"/>
          </w:tcPr>
          <w:p>
            <w:pPr>
              <w:jc w:val="center"/>
              <w:textAlignment w:val="center"/>
              <w:rPr>
                <w:rFonts w:eastAsia="仿宋_GB2312" w:cs="宋体"/>
                <w:b/>
                <w:bCs/>
                <w:color w:val="000000"/>
                <w:szCs w:val="28"/>
              </w:rPr>
            </w:pPr>
            <w:r>
              <w:rPr>
                <w:rFonts w:hint="eastAsia" w:eastAsia="仿宋_GB2312" w:cs="宋体"/>
                <w:b/>
                <w:bCs/>
                <w:color w:val="000000"/>
                <w:szCs w:val="28"/>
                <w:lang w:eastAsia="zh-CN" w:bidi="ar"/>
              </w:rPr>
              <w:t>教学质量保障体系</w:t>
            </w: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新时代高校内部质量保障体系建设——同济特色质量保证体系的探索与创新</w:t>
            </w:r>
          </w:p>
        </w:tc>
        <w:tc>
          <w:tcPr>
            <w:tcW w:w="511" w:type="pct"/>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李亚东</w:t>
            </w:r>
          </w:p>
        </w:tc>
        <w:tc>
          <w:tcPr>
            <w:tcW w:w="2039" w:type="pct"/>
            <w:shd w:val="clear" w:color="auto" w:fill="auto"/>
            <w:noWrap/>
            <w:vAlign w:val="center"/>
          </w:tcPr>
          <w:p>
            <w:pPr>
              <w:textAlignment w:val="center"/>
              <w:rPr>
                <w:rFonts w:eastAsia="仿宋_GB2312" w:cs="宋体"/>
                <w:color w:val="000000"/>
                <w:lang w:eastAsia="zh-CN"/>
              </w:rPr>
            </w:pPr>
            <w:r>
              <w:rPr>
                <w:rFonts w:hint="eastAsia" w:eastAsia="仿宋_GB2312" w:cs="宋体"/>
                <w:color w:val="000000"/>
                <w:lang w:eastAsia="zh-CN" w:bidi="ar"/>
              </w:rPr>
              <w:t>同济大学质量管理办公室主任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lang w:eastAsia="zh-CN"/>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热点追踪——高校课程评价</w:t>
            </w:r>
          </w:p>
        </w:tc>
        <w:tc>
          <w:tcPr>
            <w:tcW w:w="511" w:type="pct"/>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吴  平</w:t>
            </w:r>
          </w:p>
        </w:tc>
        <w:tc>
          <w:tcPr>
            <w:tcW w:w="2039" w:type="pct"/>
            <w:shd w:val="clear" w:color="auto" w:fill="auto"/>
            <w:noWrap/>
            <w:vAlign w:val="center"/>
          </w:tcPr>
          <w:p>
            <w:pPr>
              <w:textAlignment w:val="center"/>
              <w:rPr>
                <w:rFonts w:eastAsia="仿宋_GB2312" w:cs="宋体"/>
                <w:color w:val="000000"/>
                <w:lang w:eastAsia="zh-CN"/>
              </w:rPr>
            </w:pPr>
            <w:r>
              <w:rPr>
                <w:rFonts w:hint="eastAsia" w:eastAsia="仿宋_GB2312" w:cs="宋体"/>
                <w:color w:val="000000"/>
                <w:lang w:eastAsia="zh-CN" w:bidi="ar"/>
              </w:rPr>
              <w:t>华中农业大学党委常委、副校长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lang w:eastAsia="zh-CN"/>
              </w:rPr>
            </w:pPr>
          </w:p>
        </w:tc>
        <w:tc>
          <w:tcPr>
            <w:tcW w:w="1993" w:type="pct"/>
            <w:shd w:val="clear" w:color="auto" w:fill="auto"/>
            <w:vAlign w:val="center"/>
          </w:tcPr>
          <w:p>
            <w:pPr>
              <w:textAlignment w:val="center"/>
              <w:rPr>
                <w:rFonts w:eastAsia="仿宋_GB2312" w:cs="宋体"/>
                <w:color w:val="000000"/>
              </w:rPr>
            </w:pPr>
            <w:r>
              <w:rPr>
                <w:rFonts w:hint="eastAsia" w:eastAsia="仿宋_GB2312" w:cs="宋体"/>
                <w:color w:val="000000"/>
                <w:lang w:eastAsia="zh-CN" w:bidi="ar"/>
              </w:rPr>
              <w:t>本科教育质量监测</w:t>
            </w:r>
          </w:p>
        </w:tc>
        <w:tc>
          <w:tcPr>
            <w:tcW w:w="511"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王伯庆</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麦可思公司创始人、总裁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lang w:eastAsia="zh-CN"/>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高等教育质量建设的主要抓手：评估与认证</w:t>
            </w:r>
          </w:p>
        </w:tc>
        <w:tc>
          <w:tcPr>
            <w:tcW w:w="511"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刘振天</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厦门大学教育研究院特聘教授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lang w:eastAsia="zh-CN"/>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如何看待本科教育质量：专家和学生的视角</w:t>
            </w:r>
          </w:p>
        </w:tc>
        <w:tc>
          <w:tcPr>
            <w:tcW w:w="511" w:type="pct"/>
            <w:shd w:val="clear" w:color="auto" w:fill="auto"/>
            <w:noWrap/>
            <w:vAlign w:val="center"/>
          </w:tcPr>
          <w:p>
            <w:pPr>
              <w:jc w:val="center"/>
              <w:textAlignment w:val="center"/>
              <w:rPr>
                <w:rFonts w:eastAsia="仿宋_GB2312" w:cs="宋体"/>
                <w:color w:val="000000"/>
              </w:rPr>
            </w:pPr>
            <w:r>
              <w:rPr>
                <w:rFonts w:hint="eastAsia" w:eastAsia="仿宋_GB2312" w:cs="宋体"/>
                <w:color w:val="000000"/>
                <w:lang w:eastAsia="zh-CN" w:bidi="ar"/>
              </w:rPr>
              <w:t>陆根书</w:t>
            </w:r>
          </w:p>
        </w:tc>
        <w:tc>
          <w:tcPr>
            <w:tcW w:w="2039" w:type="pct"/>
            <w:shd w:val="clear" w:color="auto" w:fill="auto"/>
            <w:noWrap/>
            <w:vAlign w:val="center"/>
          </w:tcPr>
          <w:p>
            <w:pPr>
              <w:textAlignment w:val="center"/>
              <w:rPr>
                <w:rFonts w:eastAsia="仿宋_GB2312" w:cs="宋体"/>
                <w:color w:val="000000"/>
                <w:lang w:eastAsia="zh-CN"/>
              </w:rPr>
            </w:pPr>
            <w:r>
              <w:rPr>
                <w:rFonts w:hint="eastAsia" w:eastAsia="仿宋_GB2312" w:cs="宋体"/>
                <w:color w:val="000000"/>
                <w:lang w:eastAsia="zh-CN" w:bidi="ar"/>
              </w:rPr>
              <w:t>西安交通大学高等教育研究所所长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restart"/>
            <w:shd w:val="clear" w:color="auto" w:fill="auto"/>
            <w:vAlign w:val="center"/>
          </w:tcPr>
          <w:p>
            <w:pPr>
              <w:jc w:val="center"/>
              <w:textAlignment w:val="center"/>
              <w:rPr>
                <w:rFonts w:eastAsia="仿宋_GB2312" w:cs="宋体"/>
                <w:b/>
                <w:bCs/>
                <w:color w:val="000000"/>
                <w:szCs w:val="28"/>
              </w:rPr>
            </w:pPr>
            <w:r>
              <w:rPr>
                <w:rFonts w:hint="eastAsia" w:eastAsia="仿宋_GB2312" w:cs="宋体"/>
                <w:b/>
                <w:bCs/>
                <w:color w:val="000000"/>
                <w:szCs w:val="28"/>
                <w:lang w:eastAsia="zh-CN" w:bidi="ar"/>
              </w:rPr>
              <w:t>教育评价改革</w:t>
            </w: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中国教育综合改革的重大问题与政策选择——《 深化新时代教育评价改革的总体方案 》 解读</w:t>
            </w:r>
          </w:p>
        </w:tc>
        <w:tc>
          <w:tcPr>
            <w:tcW w:w="511"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刘自成</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教育部综合改革司司长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lang w:eastAsia="zh-CN"/>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“逆全球化”影响下的“十四五”高等教育改革</w:t>
            </w:r>
          </w:p>
        </w:tc>
        <w:tc>
          <w:tcPr>
            <w:tcW w:w="511"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马陆亭</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教育部教育发展研究中心高教室主任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lang w:eastAsia="zh-CN"/>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新时代教育评价改革使命与行动</w:t>
            </w:r>
          </w:p>
        </w:tc>
        <w:tc>
          <w:tcPr>
            <w:tcW w:w="511"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王彬武</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陕西省教育厅教师工作处处长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lang w:eastAsia="zh-CN"/>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深化新时代教育评价改革与学校高质量发展</w:t>
            </w:r>
          </w:p>
        </w:tc>
        <w:tc>
          <w:tcPr>
            <w:tcW w:w="511"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赵学勤</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北京市教育督导与教育质量评价研究中心主任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5" w:type="pct"/>
            <w:vMerge w:val="continue"/>
            <w:shd w:val="clear" w:color="auto" w:fill="auto"/>
            <w:vAlign w:val="center"/>
          </w:tcPr>
          <w:p>
            <w:pPr>
              <w:jc w:val="center"/>
              <w:rPr>
                <w:rFonts w:eastAsia="仿宋_GB2312" w:cs="宋体"/>
                <w:b/>
                <w:bCs/>
                <w:color w:val="000000"/>
                <w:szCs w:val="28"/>
                <w:lang w:eastAsia="zh-CN"/>
              </w:rPr>
            </w:pPr>
          </w:p>
        </w:tc>
        <w:tc>
          <w:tcPr>
            <w:tcW w:w="1993"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教育评价改革政策评估——实践进展和热点问题</w:t>
            </w:r>
          </w:p>
        </w:tc>
        <w:tc>
          <w:tcPr>
            <w:tcW w:w="511" w:type="pct"/>
            <w:shd w:val="clear" w:color="auto" w:fill="auto"/>
            <w:vAlign w:val="center"/>
          </w:tcPr>
          <w:p>
            <w:pPr>
              <w:jc w:val="center"/>
              <w:textAlignment w:val="center"/>
              <w:rPr>
                <w:rFonts w:eastAsia="仿宋_GB2312" w:cs="宋体"/>
                <w:color w:val="000000"/>
              </w:rPr>
            </w:pPr>
            <w:r>
              <w:rPr>
                <w:rFonts w:hint="eastAsia" w:eastAsia="仿宋_GB2312" w:cs="宋体"/>
                <w:color w:val="000000"/>
                <w:lang w:eastAsia="zh-CN" w:bidi="ar"/>
              </w:rPr>
              <w:t>姜朝晖</w:t>
            </w:r>
          </w:p>
        </w:tc>
        <w:tc>
          <w:tcPr>
            <w:tcW w:w="2039" w:type="pct"/>
            <w:shd w:val="clear" w:color="auto" w:fill="auto"/>
            <w:vAlign w:val="center"/>
          </w:tcPr>
          <w:p>
            <w:pPr>
              <w:textAlignment w:val="center"/>
              <w:rPr>
                <w:rFonts w:eastAsia="仿宋_GB2312" w:cs="宋体"/>
                <w:color w:val="000000"/>
                <w:lang w:eastAsia="zh-CN"/>
              </w:rPr>
            </w:pPr>
            <w:r>
              <w:rPr>
                <w:rFonts w:hint="eastAsia" w:eastAsia="仿宋_GB2312" w:cs="宋体"/>
                <w:color w:val="000000"/>
                <w:lang w:eastAsia="zh-CN" w:bidi="ar"/>
              </w:rPr>
              <w:t>中国教育科学研究院院办副主任</w:t>
            </w:r>
          </w:p>
        </w:tc>
      </w:tr>
    </w:tbl>
    <w:p>
      <w:pPr>
        <w:textAlignment w:val="baseline"/>
        <w:rPr>
          <w:rFonts w:eastAsia="仿宋_GB2312" w:cs="仿宋_GB2312"/>
          <w:color w:val="000000" w:themeColor="text1"/>
          <w:lang w:eastAsia="zh-CN"/>
          <w14:textFill>
            <w14:solidFill>
              <w14:schemeClr w14:val="tx1"/>
            </w14:solidFill>
          </w14:textFill>
        </w:rPr>
      </w:pPr>
      <w:r>
        <w:rPr>
          <w:rFonts w:hint="eastAsia" w:eastAsia="仿宋_GB2312" w:cs="仿宋_GB2312"/>
          <w:color w:val="000000" w:themeColor="text1"/>
          <w:lang w:eastAsia="zh-CN"/>
          <w14:textFill>
            <w14:solidFill>
              <w14:schemeClr w14:val="tx1"/>
            </w14:solidFill>
          </w14:textFill>
        </w:rPr>
        <w:t>说明：1.实施中个别课程或稍有调整，请以平台最终发布课程为准；</w:t>
      </w:r>
    </w:p>
    <w:p>
      <w:pPr>
        <w:ind w:firstLine="720" w:firstLineChars="300"/>
        <w:textAlignment w:val="baseline"/>
        <w:rPr>
          <w:rFonts w:eastAsia="仿宋_GB2312" w:cs="仿宋_GB2312"/>
          <w:color w:val="000000" w:themeColor="text1"/>
          <w:lang w:eastAsia="zh-CN"/>
          <w14:textFill>
            <w14:solidFill>
              <w14:schemeClr w14:val="tx1"/>
            </w14:solidFill>
          </w14:textFill>
        </w:rPr>
      </w:pPr>
      <w:r>
        <w:rPr>
          <w:rFonts w:hint="eastAsia" w:eastAsia="仿宋_GB2312" w:cs="仿宋_GB2312"/>
          <w:color w:val="000000" w:themeColor="text1"/>
          <w:lang w:eastAsia="zh-CN"/>
          <w14:textFill>
            <w14:solidFill>
              <w14:schemeClr w14:val="tx1"/>
            </w14:solidFill>
          </w14:textFill>
        </w:rPr>
        <w:t>2.课程主讲人职务为课程录制时的职务。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MGQzM2Y3NDdkZTI0YTM0NjkzYjI5YjkwODA0YjQifQ=="/>
  </w:docVars>
  <w:rsids>
    <w:rsidRoot w:val="3F9D3F2F"/>
    <w:rsid w:val="3F9D3F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en-US" w:bidi="ar-SA"/>
    </w:rPr>
  </w:style>
  <w:style w:type="paragraph" w:styleId="2">
    <w:name w:val="heading 1"/>
    <w:basedOn w:val="1"/>
    <w:next w:val="1"/>
    <w:qFormat/>
    <w:uiPriority w:val="9"/>
    <w:pPr>
      <w:spacing w:before="100" w:beforeAutospacing="1" w:after="100" w:afterAutospacing="1"/>
      <w:outlineLvl w:val="0"/>
    </w:pPr>
    <w:rPr>
      <w:rFonts w:ascii="宋体" w:hAnsi="宋体" w:eastAsia="宋体" w:cs="宋体"/>
      <w:b/>
      <w:bCs/>
      <w:kern w:val="36"/>
      <w:sz w:val="48"/>
      <w:szCs w:val="48"/>
      <w:lang w:eastAsia="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2022-06-14T10:42:00Z</dcterms:created>
  <dc:creator>lenovo</dc:creator>
  <cp:lastModifiedBy>lenovo</cp:lastModifiedBy>
  <dcterms:modified xsi:type="dcterms:W3CDTF">2022-06-14T10:43:14Z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537F79E82C5A4152989F8015D45958BD</vt:lpwstr>
  </property>
</Properties>
</file>