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ind w:left="-71" w:leftChars="-177" w:hanging="354" w:hangingChars="118"/>
        <w:jc w:val="both"/>
        <w:textAlignment w:val="baseline"/>
        <w:rPr>
          <w:rFonts w:ascii="Times New Roman" w:hAnsi="Times New Roman" w:eastAsia="黑体" w:cs="黑体"/>
          <w:b w:val="0"/>
          <w:bCs w:val="0"/>
          <w:sz w:val="30"/>
          <w:szCs w:val="36"/>
        </w:rPr>
      </w:pPr>
      <w:bookmarkStart w:id="0" w:name="_Toc4191"/>
      <w:bookmarkStart w:id="1" w:name="_Toc18174"/>
      <w:bookmarkStart w:id="2" w:name="_Toc22785"/>
      <w:bookmarkStart w:id="3" w:name="_Toc26464"/>
      <w:r>
        <w:rPr>
          <w:rFonts w:hint="eastAsia" w:ascii="Times New Roman" w:hAnsi="Times New Roman" w:eastAsia="黑体" w:cs="黑体"/>
          <w:b w:val="0"/>
          <w:bCs w:val="0"/>
          <w:sz w:val="30"/>
          <w:szCs w:val="36"/>
        </w:rPr>
        <w:t>附件6</w:t>
      </w:r>
      <w:bookmarkEnd w:id="0"/>
      <w:bookmarkEnd w:id="1"/>
      <w:bookmarkEnd w:id="2"/>
      <w:bookmarkEnd w:id="3"/>
    </w:p>
    <w:p>
      <w:pPr>
        <w:pStyle w:val="2"/>
        <w:spacing w:before="156" w:beforeAutospacing="0" w:after="156" w:afterAutospacing="0" w:line="580" w:lineRule="exact"/>
        <w:jc w:val="center"/>
        <w:textAlignment w:val="baseline"/>
        <w:rPr>
          <w:rFonts w:ascii="方正小标宋简体" w:hAnsi="黑体" w:eastAsia="方正小标宋简体" w:cs="黑体"/>
          <w:b w:val="0"/>
          <w:kern w:val="2"/>
          <w:sz w:val="36"/>
          <w:szCs w:val="36"/>
        </w:rPr>
      </w:pPr>
      <w:bookmarkStart w:id="11" w:name="_GoBack"/>
      <w:bookmarkStart w:id="4" w:name="_Toc28507"/>
      <w:bookmarkStart w:id="5" w:name="_Toc32682"/>
      <w:bookmarkStart w:id="6" w:name="_Toc3378"/>
      <w:bookmarkStart w:id="7" w:name="_Toc7715"/>
      <w:bookmarkStart w:id="8" w:name="_Toc21585"/>
      <w:bookmarkStart w:id="9" w:name="_Toc16541"/>
      <w:bookmarkStart w:id="10" w:name="_Toc14069"/>
      <w:r>
        <w:rPr>
          <w:rFonts w:hint="eastAsia" w:ascii="方正小标宋简体" w:hAnsi="黑体" w:eastAsia="方正小标宋简体" w:cs="黑体"/>
          <w:b w:val="0"/>
          <w:kern w:val="2"/>
          <w:sz w:val="36"/>
          <w:szCs w:val="36"/>
        </w:rPr>
        <w:t>财务干部网络培训课程列表</w:t>
      </w:r>
      <w:bookmarkEnd w:id="11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3"/>
        <w:tblW w:w="5775" w:type="pct"/>
        <w:tblInd w:w="-6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109"/>
        <w:gridCol w:w="1107"/>
        <w:gridCol w:w="3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课程</w:t>
            </w:r>
          </w:p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模块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课程名称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主讲人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 w:bidi="ar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政治理论学习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坚持立德树人，建设教育强国——学习《习近平总书记教育重要论述讲义》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王炳林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教育部高等学校社会科学发展研究中心主任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  俭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中共中央宣传部原思想政治工作研究所研究员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深入学习贯彻习近平总书记在“七一”庆祝中国共产党成立100周年大会上的重要讲话精神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  春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  春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中国共产党与三个历史决议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祝  彦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中共中央党校（国家行政学院）党史教研部教授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党员干部的党性与党性修养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祝  彦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中共中央党校（国家行政学院）党史教研部教授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新时代中国共产党的历史使命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王新生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原中共中央党史研究室研究员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张  力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国家教育咨询委员会秘书长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增强党性修养 做合格共产党员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孙  宁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中共北京市委党校（北京行政学院）党史党建教研部副教授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高校财务政策与制度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新技术变革下的财务管理进化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张庆龙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北京国家会计学院教授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认真学习贯彻新《会计法》，做新时代合格的会计人员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叶陈刚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对外经济贸易大学会计学系教授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高职院校财务精细化管理的探索与实践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冯树清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重庆财经职业学院副院长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财务法律法规例谈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廖叶俊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西南财经大学兼职教授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全面实施预算绩效管理，提高财政资源配置效率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张  鹏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中国财政科学研究院研究员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会计基本技能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童燕燕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职教MOOC建设委员会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如何规范会计档案管理工作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蔡盈芳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国家档案局经济科技档案业务指导司企业档案业务指导处处长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财会风险防控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以创新引领会计信息化，助力会计工作转型升级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吴  涛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财政部信息网络中心副主任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加强财务监督管理 促进民办学校健康发展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邓  睿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重庆市教委副主任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大数据背景下政府部门财务风险控制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叶陈刚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对外经济贸易大学会计学系教授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漫谈财务文化与财务风险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向全珍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成都理工大学计划财务处副处长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大数据与云计算下的审计方式转变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吕天阳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审计署计算机技术中心国家审计仿真实验室副处长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大数据时代新型侵财犯罪形势分析与防范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张  锐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黑龙江省公安厅反诈骗中心科长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财产安全防护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微  课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沟通协调能力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鬼谷子沟通的艺术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冯德林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竺可桢文化发展中心国学院院长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学校中层干部的沟通与领导力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刘平青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北京理工大学管理与经济学院副院长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办公室工作礼仪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韩晓洁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中央广播电视大学特聘商务礼仪讲师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演讲口才与思维智慧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郑劲松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西南大学档案馆馆长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就事论事：以目标为核心的情景沟通训练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赵了了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职场沟通与情绪管理专家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b/>
                <w:bCs/>
                <w:color w:val="000000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lang w:eastAsia="zh-CN" w:bidi="ar"/>
              </w:rPr>
              <w:t>学习创新能力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勇于创新拼搏进取，提高干部改革攻坚能力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李军鹏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中共中央党校（国家行政学院）公共管理教研部教授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“四协同”人才培养模式创新实践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方志军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上海工程技术大学电子电气工程学院院长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新时期学校管理创新与学校内涵发展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王建宗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北京市西城区教育研修学院党委书记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专业技术人员执行力与创新服务力培养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段伟文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中国社会科学院哲学研究所科学技术哲学研究室主任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坚持创新在我国现代化建设全局中的核心地位 把科技自立自强作为国家发展的战略支撑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 xml:space="preserve"> 万劲波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中国科学院科技战略咨询研究院研究员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大力开展网络安全人才培养与产业创新，筑造国家网络安全坚固防线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陆  峰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工信部赛迪智库互联网研究所副所长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“互联网+”时代培训模式创新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 w:cs="宋体"/>
                <w:color w:val="000000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马德富</w:t>
            </w:r>
          </w:p>
        </w:tc>
        <w:tc>
          <w:tcPr>
            <w:tcW w:w="1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eastAsia="仿宋_GB2312" w:cs="宋体"/>
                <w:color w:val="000000"/>
                <w:lang w:eastAsia="zh-CN"/>
              </w:rPr>
            </w:pPr>
            <w:r>
              <w:rPr>
                <w:rFonts w:hint="eastAsia" w:eastAsia="仿宋_GB2312" w:cs="宋体"/>
                <w:color w:val="000000"/>
                <w:lang w:eastAsia="zh-CN" w:bidi="ar"/>
              </w:rPr>
              <w:t>北京新产教科技有限公司董事长</w:t>
            </w:r>
          </w:p>
        </w:tc>
      </w:tr>
    </w:tbl>
    <w:p>
      <w:pPr>
        <w:textAlignment w:val="baseline"/>
        <w:rPr>
          <w:rFonts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ind w:firstLine="720" w:firstLineChars="300"/>
        <w:textAlignment w:val="baseline"/>
        <w:rPr>
          <w:rFonts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2.课程主讲人职务为课程录制时的职务。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GQzM2Y3NDdkZTI0YTM0NjkzYjI5YjkwODA0YjQifQ=="/>
  </w:docVars>
  <w:rsids>
    <w:rsidRoot w:val="72C43E7E"/>
    <w:rsid w:val="72C43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2022-06-14T10:44:00Z</dcterms:created>
  <dc:creator>lenovo</dc:creator>
  <cp:lastModifiedBy>lenovo</cp:lastModifiedBy>
  <dcterms:modified xsi:type="dcterms:W3CDTF">2022-06-14T10:44:28Z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B711DCB6489140F58B3707D1EA026037</vt:lpwstr>
  </property>
</Properties>
</file>