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ind w:left="-95" w:leftChars="-236" w:hanging="471" w:hangingChars="157"/>
        <w:jc w:val="both"/>
        <w:textAlignment w:val="baseline"/>
        <w:rPr>
          <w:rFonts w:ascii="Times New Roman" w:hAnsi="Times New Roman" w:eastAsia="黑体" w:cs="黑体"/>
          <w:b w:val="0"/>
          <w:bCs w:val="0"/>
          <w:sz w:val="30"/>
          <w:szCs w:val="36"/>
        </w:rPr>
      </w:pPr>
      <w:bookmarkStart w:id="0" w:name="_Toc25913"/>
      <w:bookmarkStart w:id="1" w:name="_Toc1382"/>
      <w:bookmarkStart w:id="2" w:name="_Toc27123"/>
      <w:bookmarkStart w:id="3" w:name="_Toc9343"/>
      <w:r>
        <w:rPr>
          <w:rFonts w:hint="eastAsia" w:ascii="Times New Roman" w:hAnsi="Times New Roman" w:eastAsia="黑体" w:cs="黑体"/>
          <w:b w:val="0"/>
          <w:bCs w:val="0"/>
          <w:sz w:val="30"/>
          <w:szCs w:val="36"/>
        </w:rPr>
        <w:t>附件9</w:t>
      </w:r>
      <w:bookmarkEnd w:id="0"/>
      <w:bookmarkEnd w:id="1"/>
      <w:bookmarkEnd w:id="2"/>
      <w:bookmarkEnd w:id="3"/>
    </w:p>
    <w:p>
      <w:pPr>
        <w:pStyle w:val="2"/>
        <w:spacing w:before="156" w:beforeAutospacing="0" w:after="156" w:afterAutospacing="0" w:line="580" w:lineRule="exact"/>
        <w:jc w:val="center"/>
        <w:textAlignment w:val="baseline"/>
        <w:rPr>
          <w:rFonts w:ascii="方正小标宋简体" w:hAnsi="黑体" w:eastAsia="方正小标宋简体" w:cs="黑体"/>
          <w:b w:val="0"/>
          <w:kern w:val="2"/>
          <w:sz w:val="36"/>
          <w:szCs w:val="36"/>
        </w:rPr>
      </w:pPr>
      <w:bookmarkStart w:id="11" w:name="_GoBack"/>
      <w:bookmarkStart w:id="4" w:name="_Toc2955"/>
      <w:bookmarkStart w:id="5" w:name="_Toc6497"/>
      <w:bookmarkStart w:id="6" w:name="_Toc14440"/>
      <w:bookmarkStart w:id="7" w:name="_Toc32375"/>
      <w:bookmarkStart w:id="8" w:name="_Toc17388"/>
      <w:bookmarkStart w:id="9" w:name="_Toc19200"/>
      <w:bookmarkStart w:id="10" w:name="_Toc2178"/>
      <w:r>
        <w:rPr>
          <w:rFonts w:hint="eastAsia" w:ascii="方正小标宋简体" w:hAnsi="黑体" w:eastAsia="方正小标宋简体" w:cs="黑体"/>
          <w:b w:val="0"/>
          <w:kern w:val="2"/>
          <w:sz w:val="36"/>
          <w:szCs w:val="36"/>
        </w:rPr>
        <w:t>后勤干部网络培训课程列表</w:t>
      </w:r>
      <w:bookmarkEnd w:id="4"/>
      <w:bookmarkEnd w:id="5"/>
      <w:bookmarkEnd w:id="6"/>
      <w:bookmarkEnd w:id="7"/>
      <w:bookmarkEnd w:id="8"/>
      <w:bookmarkEnd w:id="9"/>
      <w:bookmarkEnd w:id="10"/>
    </w:p>
    <w:bookmarkEnd w:id="11"/>
    <w:tbl>
      <w:tblPr>
        <w:tblStyle w:val="3"/>
        <w:tblW w:w="5775" w:type="pct"/>
        <w:tblInd w:w="-558" w:type="dxa"/>
        <w:tblLayout w:type="autofit"/>
        <w:tblCellMar>
          <w:top w:w="0" w:type="dxa"/>
          <w:left w:w="108" w:type="dxa"/>
          <w:bottom w:w="0" w:type="dxa"/>
          <w:right w:w="108" w:type="dxa"/>
        </w:tblCellMar>
      </w:tblPr>
      <w:tblGrid>
        <w:gridCol w:w="788"/>
        <w:gridCol w:w="4250"/>
        <w:gridCol w:w="961"/>
        <w:gridCol w:w="3844"/>
      </w:tblGrid>
      <w:tr>
        <w:tblPrEx>
          <w:tblCellMar>
            <w:top w:w="0" w:type="dxa"/>
            <w:left w:w="108" w:type="dxa"/>
            <w:bottom w:w="0" w:type="dxa"/>
            <w:right w:w="108" w:type="dxa"/>
          </w:tblCellMar>
        </w:tblPrEx>
        <w:trPr>
          <w:trHeight w:val="660"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黑体" w:hAnsi="黑体" w:eastAsia="黑体" w:cs="黑体"/>
                <w:color w:val="000000"/>
                <w:lang w:eastAsia="zh-CN" w:bidi="ar"/>
              </w:rPr>
            </w:pPr>
            <w:r>
              <w:rPr>
                <w:rFonts w:hint="eastAsia" w:ascii="黑体" w:hAnsi="黑体" w:eastAsia="黑体" w:cs="黑体"/>
                <w:color w:val="000000"/>
                <w:lang w:eastAsia="zh-CN" w:bidi="ar"/>
              </w:rPr>
              <w:t>课程</w:t>
            </w:r>
          </w:p>
          <w:p>
            <w:pPr>
              <w:jc w:val="center"/>
              <w:textAlignment w:val="center"/>
              <w:rPr>
                <w:rFonts w:ascii="黑体" w:hAnsi="黑体" w:eastAsia="黑体" w:cs="黑体"/>
                <w:color w:val="000000"/>
              </w:rPr>
            </w:pPr>
            <w:r>
              <w:rPr>
                <w:rFonts w:hint="eastAsia" w:ascii="黑体" w:hAnsi="黑体" w:eastAsia="黑体" w:cs="黑体"/>
                <w:color w:val="000000"/>
                <w:lang w:eastAsia="zh-CN" w:bidi="ar"/>
              </w:rPr>
              <w:t>模块</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课程名称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主讲人</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单位职务</w:t>
            </w:r>
          </w:p>
        </w:tc>
      </w:tr>
      <w:tr>
        <w:tblPrEx>
          <w:tblCellMar>
            <w:top w:w="0" w:type="dxa"/>
            <w:left w:w="108" w:type="dxa"/>
            <w:bottom w:w="0" w:type="dxa"/>
            <w:right w:w="108" w:type="dxa"/>
          </w:tblCellMar>
        </w:tblPrEx>
        <w:trPr>
          <w:trHeight w:val="600" w:hRule="atLeast"/>
        </w:trPr>
        <w:tc>
          <w:tcPr>
            <w:tcW w:w="400"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政治理论学习</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坚持立德树人，建设教育强国——学习《习近平总书记教育重要论述讲义》</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王炳林</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教育部高等学校社会科学发展研究中心主任</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党的伟大精神永远是党和国家的宝贵精神财富——深入学习习近平总书记关于党的伟大精神的重要论述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  俭</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中共中央宣传部原思想政治工作研究所研究员</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深入学习贯彻习近平总书记在“七一”庆祝中国共产党成立100周年大会上的重要讲话精神</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党的十九届六中全会暨《中共中央关于党的百年奋斗重大成就和历史经验的决议》总体解读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CellMar>
            <w:top w:w="0" w:type="dxa"/>
            <w:left w:w="108" w:type="dxa"/>
            <w:bottom w:w="0" w:type="dxa"/>
            <w:right w:w="108" w:type="dxa"/>
          </w:tblCellMar>
        </w:tblPrEx>
        <w:trPr>
          <w:trHeight w:val="624"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中国共产党与三个历史决议</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祝  彦</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中共中央党校（国家行政学院）党史教研部教授</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党员干部的党性与党性修养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祝  彦</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中共中央党校（国家行政学院）党史教研部教授</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新时代中国共产党的历史使命</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王新生</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原中共中央党史研究室研究员</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深入学习贯彻党的十九届六中全会精神——从党的百年奋斗历史经验看人民教育千秋基业</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力</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国家教育咨询委员会秘书长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增强党性修养 做合格共产党员</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孙  宁</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中共北京市委党校（北京行政学院）党史党建教研部副教授</w:t>
            </w:r>
          </w:p>
        </w:tc>
      </w:tr>
      <w:tr>
        <w:tblPrEx>
          <w:tblCellMar>
            <w:top w:w="0" w:type="dxa"/>
            <w:left w:w="108" w:type="dxa"/>
            <w:bottom w:w="0" w:type="dxa"/>
            <w:right w:w="108" w:type="dxa"/>
          </w:tblCellMar>
        </w:tblPrEx>
        <w:trPr>
          <w:trHeight w:val="6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高校后勤政策法规解读</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高校后勤管理的法律解读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峥</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北京市高朋律师事务所高级合伙人</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《食品安全法实施条例》重点问题解读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哲</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国家市场监督管理总局法规司副调研员</w:t>
            </w:r>
          </w:p>
        </w:tc>
      </w:tr>
      <w:tr>
        <w:tblPrEx>
          <w:tblCellMar>
            <w:top w:w="0" w:type="dxa"/>
            <w:left w:w="108" w:type="dxa"/>
            <w:bottom w:w="0" w:type="dxa"/>
            <w:right w:w="108" w:type="dxa"/>
          </w:tblCellMar>
        </w:tblPrEx>
        <w:trPr>
          <w:trHeight w:val="600" w:hRule="atLeast"/>
        </w:trPr>
        <w:tc>
          <w:tcPr>
            <w:tcW w:w="400" w:type="pct"/>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后勤管理工作实务</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深入贯彻落实习近平总书记对制止餐饮浪费行为作出的重要指示精神，大力倡导勤俭节约之风</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邹一南</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中共中央党校（国家行政学院）习近平新时代中国特色社会主义思想研究中心研究员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保粮食能源安全，筑牢经济发展与物资储备“安全线”</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邹一南</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中共中央党校（国家行政学院）习近平新时代中国特色社会主义思想研究中心研究员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谈谈宿舍关系问题应对</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卉</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北京大学副教授</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现代高校后勤改革与管理</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新科技、新技术和新材料在高校后勤的应用</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高校后勤问题管理、问题发现与潜在风险防控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高校后勤服务外包与有效监管</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高校后勤队伍建设与优化</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高校后勤报酬分配与管理</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赵相华</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北京林业大学研究员</w:t>
            </w:r>
          </w:p>
        </w:tc>
      </w:tr>
      <w:tr>
        <w:tblPrEx>
          <w:tblCellMar>
            <w:top w:w="0" w:type="dxa"/>
            <w:left w:w="108" w:type="dxa"/>
            <w:bottom w:w="0" w:type="dxa"/>
            <w:right w:w="108" w:type="dxa"/>
          </w:tblCellMar>
        </w:tblPrEx>
        <w:trPr>
          <w:trHeight w:val="6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后勤管理创新</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新时代“互联网+智慧后勤”的实践与思考</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宓  詠</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复旦大学继续教育学院院长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移动改变生活 创新引领教育——上海商学院后勤信息化发展模式的探索与实践</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钟幼伟</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上海商学院副校长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移动互联网时代校园服务模式的创新实践与思考</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王武海</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陕西师范大学校园信息化工程技术研究院院长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创新工作思路  建设智慧后勤</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郑广天</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北京交通大学校长助理</w:t>
            </w:r>
          </w:p>
        </w:tc>
      </w:tr>
      <w:tr>
        <w:tblPrEx>
          <w:tblCellMar>
            <w:top w:w="0" w:type="dxa"/>
            <w:left w:w="108" w:type="dxa"/>
            <w:bottom w:w="0" w:type="dxa"/>
            <w:right w:w="108" w:type="dxa"/>
          </w:tblCellMar>
        </w:tblPrEx>
        <w:trPr>
          <w:trHeight w:val="6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沟通协调能力</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鬼谷子沟通的艺术</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冯德林</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竺可桢文化发展中心国学院院长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学校中层干部的沟通与领导力</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刘平青</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北京理工大学管理与经济学院副院长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办公室工作礼仪</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韩晓洁</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中央广播电视大学特聘商务礼仪讲师</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演讲口才与思维智慧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郑劲松</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西南大学档案馆馆长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就事论事：以目标为核心的情景沟通训练</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赵了了</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职场沟通与情绪管理专家</w:t>
            </w:r>
          </w:p>
        </w:tc>
      </w:tr>
      <w:tr>
        <w:tblPrEx>
          <w:tblCellMar>
            <w:top w:w="0" w:type="dxa"/>
            <w:left w:w="108" w:type="dxa"/>
            <w:bottom w:w="0" w:type="dxa"/>
            <w:right w:w="108" w:type="dxa"/>
          </w:tblCellMar>
        </w:tblPrEx>
        <w:trPr>
          <w:trHeight w:val="6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学习创新能力</w:t>
            </w: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勇于创新拼搏进取，提高干部改革攻坚能力</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李军鹏</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中共中央党校（国家行政学院）公共管理教研部教授</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“四协同”人才培养模式创新实践</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方志军</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上海工程技术大学电子电气工程学院院长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新时期学校管理创新与学校内涵发展</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王建宗</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北京市西城区教育研修学院党委书记</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专业技术人员执行力与创新服务力培养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段伟文</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中国社会科学院哲学研究所科学技术哲学研究室主任</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坚持创新在我国现代化建设全局中的核心地位 把科技自立自强作为国家发展的战略支撑</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万劲波</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中国科学院科技战略咨询研究院研究员</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大力开展网络安全人才培养与产业创新，筑造国家网络安全坚固防线</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陆  峰</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工信部赛迪智库互联网研究所副所长</w:t>
            </w:r>
          </w:p>
        </w:tc>
      </w:tr>
      <w:tr>
        <w:tblPrEx>
          <w:tblCellMar>
            <w:top w:w="0" w:type="dxa"/>
            <w:left w:w="108" w:type="dxa"/>
            <w:bottom w:w="0" w:type="dxa"/>
            <w:right w:w="108" w:type="dxa"/>
          </w:tblCellMar>
        </w:tblPrEx>
        <w:trPr>
          <w:trHeight w:val="6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“互联网+”时代培训模式创新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马德富</w:t>
            </w:r>
          </w:p>
        </w:tc>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北京新产教科技有限公司董事长</w:t>
            </w:r>
          </w:p>
        </w:tc>
      </w:tr>
    </w:tbl>
    <w:p>
      <w:pPr>
        <w:textAlignment w:val="baseline"/>
        <w:rPr>
          <w:rFonts w:eastAsia="仿宋_GB2312" w:cs="仿宋_GB2312"/>
          <w:color w:val="000000" w:themeColor="text1"/>
          <w:lang w:eastAsia="zh-CN"/>
          <w14:textFill>
            <w14:solidFill>
              <w14:schemeClr w14:val="tx1"/>
            </w14:solidFill>
          </w14:textFill>
        </w:rPr>
      </w:pPr>
    </w:p>
    <w:p>
      <w:pPr>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说明：1.实施中个别课程或稍有调整，请以平台最终发布课程为准；</w:t>
      </w:r>
    </w:p>
    <w:p>
      <w:pPr>
        <w:ind w:firstLine="720" w:firstLineChars="300"/>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3EAF2E84"/>
    <w:rsid w:val="3EAF2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2022-06-14T10:47:00Z</dcterms:created>
  <dc:creator>lenovo</dc:creator>
  <cp:lastModifiedBy>lenovo</cp:lastModifiedBy>
  <dcterms:modified xsi:type="dcterms:W3CDTF">2022-06-14T10:48:16Z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FA2583B91DE94A1A9C3338E8CB174DD6</vt:lpwstr>
  </property>
</Properties>
</file>