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方正小标宋简体"/>
          <w:sz w:val="30"/>
          <w:szCs w:val="30"/>
        </w:rPr>
      </w:pPr>
      <w:r>
        <w:rPr>
          <w:rFonts w:hint="eastAsia" w:eastAsia="黑体" w:cs="方正小标宋简体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高校领导干部和教师信息化素养与教育数字化能力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提升专题网络培训参训回执表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（干部）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（教师）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请在汇款时说明：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高校干部教师教育数字化能力提升专题网络培训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ascii="Calibri" w:hAnsi="Calibri" w:cs="黑体"/>
          <w:szCs w:val="22"/>
        </w:rPr>
      </w:pPr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0A111460"/>
    <w:rsid w:val="0A111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2022-06-14T12:25:00Z</dcterms:created>
  <dc:creator>汪黄宁Lynn</dc:creator>
  <cp:lastModifiedBy>汪黄宁Lynn</cp:lastModifiedBy>
  <dcterms:modified xsi:type="dcterms:W3CDTF">2022-06-14T12:26:00Z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68A704B3522B4C20AF9DFB001FDC7D6E</vt:lpwstr>
  </property>
</Properties>
</file>