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7" w:leftChars="-337" w:hanging="885" w:hangingChars="295"/>
        <w:rPr>
          <w:rFonts w:ascii="黑体" w:hAnsi="黑体" w:eastAsia="黑体" w:cs="Times New Roman"/>
          <w:sz w:val="30"/>
          <w:szCs w:val="30"/>
        </w:rPr>
      </w:pPr>
      <w:r>
        <w:rPr>
          <w:rFonts w:ascii="黑体" w:hAnsi="黑体" w:eastAsia="黑体" w:cs="Times New Roman"/>
          <w:sz w:val="30"/>
          <w:szCs w:val="30"/>
        </w:rPr>
        <w:t>附件</w:t>
      </w:r>
      <w:r>
        <w:rPr>
          <w:rFonts w:hint="eastAsia" w:ascii="黑体" w:hAnsi="黑体" w:eastAsia="黑体" w:cs="Times New Roman"/>
          <w:sz w:val="30"/>
          <w:szCs w:val="30"/>
        </w:rPr>
        <w:t>1</w:t>
      </w:r>
    </w:p>
    <w:p>
      <w:pPr>
        <w:spacing w:line="360" w:lineRule="auto"/>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第六期高校团学工作者能力提升专题网络培训</w:t>
      </w:r>
    </w:p>
    <w:p>
      <w:pPr>
        <w:spacing w:line="360" w:lineRule="auto"/>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课程列表</w:t>
      </w:r>
    </w:p>
    <w:tbl>
      <w:tblPr>
        <w:tblStyle w:val="4"/>
        <w:tblW w:w="5762" w:type="pct"/>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4109"/>
        <w:gridCol w:w="1124"/>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466"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课程模块</w:t>
            </w:r>
          </w:p>
        </w:tc>
        <w:tc>
          <w:tcPr>
            <w:tcW w:w="2091"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课程名称</w:t>
            </w:r>
          </w:p>
        </w:tc>
        <w:tc>
          <w:tcPr>
            <w:tcW w:w="572"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主讲人</w:t>
            </w:r>
          </w:p>
        </w:tc>
        <w:tc>
          <w:tcPr>
            <w:tcW w:w="1869"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noWrap/>
            <w:vAlign w:val="center"/>
          </w:tcPr>
          <w:p>
            <w:pPr>
              <w:widowControl/>
              <w:jc w:val="center"/>
              <w:textAlignment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习近平新时代中国特色社会主义思想</w:t>
            </w:r>
          </w:p>
        </w:tc>
        <w:tc>
          <w:tcPr>
            <w:tcW w:w="2091" w:type="pct"/>
            <w:shd w:val="clear" w:color="auto" w:fill="auto"/>
            <w:noWrap/>
            <w:vAlign w:val="center"/>
          </w:tcPr>
          <w:p>
            <w:pPr>
              <w:widowControl/>
              <w:textAlignment w:val="center"/>
              <w:rPr>
                <w:rFonts w:ascii="黑体" w:hAnsi="黑体" w:eastAsia="黑体" w:cs="黑体"/>
                <w:color w:val="000000"/>
                <w:kern w:val="0"/>
                <w:sz w:val="24"/>
                <w:szCs w:val="24"/>
                <w:lang w:bidi="ar"/>
              </w:rPr>
            </w:pPr>
            <w:r>
              <w:rPr>
                <w:rFonts w:hint="eastAsia" w:ascii="Times New Roman" w:hAnsi="Times New Roman" w:eastAsia="仿宋_GB2312" w:cs="宋体"/>
                <w:color w:val="000000"/>
                <w:kern w:val="0"/>
                <w:sz w:val="24"/>
                <w:szCs w:val="24"/>
                <w:lang w:bidi="ar"/>
              </w:rPr>
              <w:t>深入领会科学理论体系——学习《习近平新时代中国特色社会主义思想三十讲》</w:t>
            </w:r>
          </w:p>
        </w:tc>
        <w:tc>
          <w:tcPr>
            <w:tcW w:w="572" w:type="pct"/>
            <w:shd w:val="clear" w:color="auto" w:fill="auto"/>
            <w:noWrap/>
            <w:vAlign w:val="center"/>
          </w:tcPr>
          <w:p>
            <w:pPr>
              <w:widowControl/>
              <w:jc w:val="center"/>
              <w:textAlignment w:val="center"/>
              <w:rPr>
                <w:rFonts w:ascii="黑体" w:hAnsi="黑体" w:eastAsia="黑体" w:cs="黑体"/>
                <w:color w:val="000000"/>
                <w:kern w:val="0"/>
                <w:sz w:val="24"/>
                <w:szCs w:val="24"/>
                <w:lang w:bidi="ar"/>
              </w:rPr>
            </w:pPr>
            <w:r>
              <w:rPr>
                <w:rFonts w:hint="eastAsia" w:ascii="Times New Roman" w:hAnsi="Times New Roman" w:eastAsia="仿宋_GB2312" w:cs="宋体"/>
                <w:color w:val="000000"/>
                <w:kern w:val="0"/>
                <w:sz w:val="24"/>
                <w:szCs w:val="24"/>
                <w:lang w:bidi="ar"/>
              </w:rPr>
              <w:t>颜晓峰</w:t>
            </w:r>
          </w:p>
        </w:tc>
        <w:tc>
          <w:tcPr>
            <w:tcW w:w="1869" w:type="pct"/>
            <w:shd w:val="clear" w:color="auto" w:fill="auto"/>
            <w:noWrap/>
            <w:vAlign w:val="center"/>
          </w:tcPr>
          <w:p>
            <w:pPr>
              <w:widowControl/>
              <w:textAlignment w:val="center"/>
              <w:rPr>
                <w:rFonts w:ascii="黑体" w:hAnsi="黑体" w:eastAsia="黑体" w:cs="黑体"/>
                <w:color w:val="000000"/>
                <w:kern w:val="0"/>
                <w:sz w:val="24"/>
                <w:szCs w:val="24"/>
                <w:lang w:bidi="ar"/>
              </w:rPr>
            </w:pPr>
            <w:r>
              <w:rPr>
                <w:rFonts w:hint="eastAsia" w:ascii="Times New Roman" w:hAnsi="Times New Roman" w:eastAsia="仿宋_GB2312" w:cs="宋体"/>
                <w:color w:val="000000"/>
                <w:kern w:val="0"/>
                <w:sz w:val="24"/>
                <w:szCs w:val="24"/>
                <w:lang w:bidi="ar"/>
              </w:rPr>
              <w:t>天津大学马克思主义学院院长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习近平新时代中国特色社会主义思想：马克思主义中国化新的飞跃</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胡  敏</w:t>
            </w:r>
          </w:p>
        </w:tc>
        <w:tc>
          <w:tcPr>
            <w:tcW w:w="1869"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学习贯彻习近平总书记关于青年工作的重要思想</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69"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中央团校(中国青年政治学院)习近平青年工作思想教研部主任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深入实施新时代人才强国战略加快建设世界重要人才中心和创新高地——认真学习领会习近平总书记在中央人才工作会议的重要讲话精神</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李克实</w:t>
            </w:r>
          </w:p>
        </w:tc>
        <w:tc>
          <w:tcPr>
            <w:tcW w:w="1869"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中国人才研究会副会长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怎样理解“两个确立”的决定性意义</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 xml:space="preserve">胡 </w:t>
            </w:r>
            <w:r>
              <w:rPr>
                <w:rFonts w:ascii="Times New Roman" w:hAnsi="Times New Roman" w:eastAsia="仿宋_GB2312" w:cs="宋体"/>
                <w:color w:val="000000"/>
                <w:sz w:val="24"/>
              </w:rPr>
              <w:t xml:space="preserve"> </w:t>
            </w:r>
            <w:r>
              <w:rPr>
                <w:rFonts w:hint="eastAsia" w:ascii="Times New Roman" w:hAnsi="Times New Roman" w:eastAsia="仿宋_GB2312" w:cs="宋体"/>
                <w:color w:val="000000"/>
                <w:sz w:val="24"/>
              </w:rPr>
              <w:t>敏</w:t>
            </w:r>
          </w:p>
        </w:tc>
        <w:tc>
          <w:tcPr>
            <w:tcW w:w="1869" w:type="pct"/>
            <w:shd w:val="clear" w:color="auto" w:fill="auto"/>
            <w:vAlign w:val="center"/>
          </w:tcPr>
          <w:p>
            <w:pPr>
              <w:widowControl/>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sz w:val="24"/>
                <w:szCs w:val="24"/>
              </w:rPr>
              <w:t>坚定信念把准方向，提升干部政治能力</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胡月星</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中共中央党校（国家行政学院）党的建设教研部党的领导与领导科学教研室主任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sz w:val="24"/>
                <w:szCs w:val="24"/>
              </w:rPr>
            </w:pPr>
            <w:r>
              <w:rPr>
                <w:rFonts w:hint="eastAsia" w:ascii="Times New Roman" w:hAnsi="Times New Roman" w:eastAsia="仿宋_GB2312" w:cs="宋体"/>
                <w:sz w:val="24"/>
                <w:szCs w:val="24"/>
              </w:rPr>
              <w:t>学习贯彻宪法及宪法修正案，全面依法治国</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任  进</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中共中央党校（国家行政学院）政治和法律教研部教授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vAlign w:val="center"/>
          </w:tcPr>
          <w:p>
            <w:pPr>
              <w:widowControl/>
              <w:jc w:val="center"/>
              <w:textAlignment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习近平总书记关于教育的重要论述</w:t>
            </w:r>
          </w:p>
        </w:tc>
        <w:tc>
          <w:tcPr>
            <w:tcW w:w="2091" w:type="pct"/>
            <w:shd w:val="clear" w:color="auto" w:fill="auto"/>
            <w:vAlign w:val="center"/>
          </w:tcPr>
          <w:p>
            <w:pPr>
              <w:widowControl/>
              <w:textAlignment w:val="center"/>
              <w:rPr>
                <w:rFonts w:ascii="Times New Roman" w:hAnsi="Times New Roman" w:eastAsia="仿宋_GB2312" w:cs="宋体"/>
                <w:sz w:val="24"/>
                <w:szCs w:val="24"/>
              </w:rPr>
            </w:pPr>
            <w:r>
              <w:rPr>
                <w:rFonts w:hint="eastAsia" w:ascii="Times New Roman" w:hAnsi="Times New Roman" w:eastAsia="仿宋_GB2312" w:cs="宋体"/>
                <w:kern w:val="0"/>
                <w:sz w:val="24"/>
                <w:szCs w:val="24"/>
                <w:lang w:bidi="ar"/>
              </w:rPr>
              <w:t>深入学习领会习近平总书记关于教育的重要论述</w:t>
            </w:r>
          </w:p>
        </w:tc>
        <w:tc>
          <w:tcPr>
            <w:tcW w:w="572" w:type="pct"/>
            <w:shd w:val="clear" w:color="auto" w:fill="auto"/>
            <w:vAlign w:val="center"/>
          </w:tcPr>
          <w:p>
            <w:pPr>
              <w:widowControl/>
              <w:jc w:val="center"/>
              <w:textAlignment w:val="center"/>
              <w:rPr>
                <w:rFonts w:ascii="Times New Roman" w:hAnsi="Times New Roman" w:eastAsia="仿宋_GB2312" w:cs="宋体"/>
                <w:sz w:val="24"/>
                <w:szCs w:val="24"/>
              </w:rPr>
            </w:pPr>
            <w:r>
              <w:rPr>
                <w:rFonts w:hint="eastAsia" w:ascii="Times New Roman" w:hAnsi="Times New Roman" w:eastAsia="仿宋_GB2312" w:cs="宋体"/>
                <w:kern w:val="0"/>
                <w:sz w:val="24"/>
                <w:szCs w:val="24"/>
                <w:lang w:bidi="ar"/>
              </w:rPr>
              <w:t>邓传淮</w:t>
            </w:r>
          </w:p>
        </w:tc>
        <w:tc>
          <w:tcPr>
            <w:tcW w:w="1869" w:type="pct"/>
            <w:shd w:val="clear" w:color="auto" w:fill="auto"/>
            <w:vAlign w:val="center"/>
          </w:tcPr>
          <w:p>
            <w:pPr>
              <w:widowControl/>
              <w:jc w:val="left"/>
              <w:textAlignment w:val="center"/>
              <w:rPr>
                <w:rFonts w:ascii="Times New Roman" w:hAnsi="Times New Roman" w:eastAsia="仿宋_GB2312" w:cs="宋体"/>
                <w:sz w:val="24"/>
                <w:szCs w:val="24"/>
              </w:rPr>
            </w:pPr>
            <w:r>
              <w:rPr>
                <w:rFonts w:hint="eastAsia" w:ascii="Times New Roman" w:hAnsi="Times New Roman" w:eastAsia="仿宋_GB2312" w:cs="宋体"/>
                <w:kern w:val="0"/>
                <w:sz w:val="24"/>
                <w:szCs w:val="24"/>
                <w:lang w:bidi="ar"/>
              </w:rPr>
              <w:t>教育部政策法规司司长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91" w:type="pct"/>
            <w:shd w:val="clear" w:color="auto" w:fill="auto"/>
            <w:vAlign w:val="center"/>
          </w:tcPr>
          <w:p>
            <w:pPr>
              <w:widowControl/>
              <w:textAlignment w:val="center"/>
              <w:rPr>
                <w:rFonts w:ascii="Times New Roman" w:hAnsi="Times New Roman" w:eastAsia="仿宋_GB2312" w:cs="宋体"/>
                <w:color w:val="FF0000"/>
                <w:kern w:val="0"/>
                <w:sz w:val="24"/>
                <w:szCs w:val="24"/>
                <w:lang w:bidi="ar"/>
              </w:rPr>
            </w:pPr>
            <w:r>
              <w:rPr>
                <w:rFonts w:hint="eastAsia" w:ascii="Times New Roman" w:hAnsi="Times New Roman" w:eastAsia="仿宋_GB2312" w:cs="宋体"/>
                <w:color w:val="000000"/>
                <w:kern w:val="0"/>
                <w:sz w:val="24"/>
                <w:szCs w:val="24"/>
                <w:lang w:bidi="ar"/>
              </w:rPr>
              <w:t>习近平总书记关于教育的重要论述及落实方略</w:t>
            </w:r>
          </w:p>
        </w:tc>
        <w:tc>
          <w:tcPr>
            <w:tcW w:w="572" w:type="pct"/>
            <w:shd w:val="clear" w:color="auto" w:fill="auto"/>
            <w:vAlign w:val="center"/>
          </w:tcPr>
          <w:p>
            <w:pPr>
              <w:widowControl/>
              <w:jc w:val="center"/>
              <w:textAlignment w:val="center"/>
              <w:rPr>
                <w:rFonts w:ascii="Times New Roman" w:hAnsi="Times New Roman" w:eastAsia="仿宋_GB2312" w:cs="宋体"/>
                <w:color w:val="FF0000"/>
                <w:kern w:val="0"/>
                <w:sz w:val="24"/>
                <w:szCs w:val="24"/>
                <w:lang w:bidi="ar"/>
              </w:rPr>
            </w:pPr>
            <w:r>
              <w:rPr>
                <w:rFonts w:hint="eastAsia" w:ascii="Times New Roman" w:hAnsi="Times New Roman" w:eastAsia="仿宋_GB2312" w:cs="宋体"/>
                <w:color w:val="000000"/>
                <w:kern w:val="0"/>
                <w:sz w:val="24"/>
                <w:szCs w:val="24"/>
                <w:lang w:bidi="ar"/>
              </w:rPr>
              <w:t>王定华</w:t>
            </w:r>
          </w:p>
        </w:tc>
        <w:tc>
          <w:tcPr>
            <w:tcW w:w="1869" w:type="pct"/>
            <w:shd w:val="clear" w:color="auto" w:fill="auto"/>
            <w:vAlign w:val="center"/>
          </w:tcPr>
          <w:p>
            <w:pPr>
              <w:widowControl/>
              <w:jc w:val="left"/>
              <w:textAlignment w:val="center"/>
              <w:rPr>
                <w:rFonts w:ascii="Times New Roman" w:hAnsi="Times New Roman" w:eastAsia="仿宋_GB2312" w:cs="宋体"/>
                <w:color w:val="FF0000"/>
                <w:kern w:val="0"/>
                <w:sz w:val="24"/>
                <w:szCs w:val="24"/>
                <w:lang w:bidi="ar"/>
              </w:rPr>
            </w:pPr>
            <w:r>
              <w:rPr>
                <w:rFonts w:hint="eastAsia" w:ascii="Times New Roman" w:hAnsi="Times New Roman" w:eastAsia="仿宋_GB2312" w:cs="宋体"/>
                <w:color w:val="000000"/>
                <w:kern w:val="0"/>
                <w:sz w:val="24"/>
                <w:szCs w:val="24"/>
                <w:lang w:bidi="ar"/>
              </w:rPr>
              <w:t>北京外国语大学党委书记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习近平总书记教育重要论述讲义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李文长</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高校如何贯彻落实党的教育方针</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巫志刚</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教育部政策法规司综合研究处处长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感恩 珍惜 奋斗——争做新时代立德树人的奋斗者</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sz w:val="24"/>
                <w:szCs w:val="24"/>
              </w:rPr>
              <w:t xml:space="preserve">龙 </w:t>
            </w:r>
            <w:r>
              <w:rPr>
                <w:rFonts w:ascii="Times New Roman" w:hAnsi="Times New Roman" w:eastAsia="仿宋_GB2312" w:cs="宋体"/>
                <w:color w:val="000000"/>
                <w:sz w:val="24"/>
                <w:szCs w:val="24"/>
              </w:rPr>
              <w:t xml:space="preserve"> </w:t>
            </w:r>
            <w:r>
              <w:rPr>
                <w:rFonts w:hint="eastAsia" w:ascii="Times New Roman" w:hAnsi="Times New Roman" w:eastAsia="仿宋_GB2312" w:cs="宋体"/>
                <w:color w:val="000000"/>
                <w:sz w:val="24"/>
                <w:szCs w:val="24"/>
              </w:rPr>
              <w:t>兵</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b/>
                <w:bCs/>
                <w:color w:val="000000"/>
                <w:sz w:val="24"/>
                <w:szCs w:val="24"/>
              </w:rPr>
              <w:t>全国模范教师，</w:t>
            </w:r>
            <w:r>
              <w:rPr>
                <w:rFonts w:hint="eastAsia" w:ascii="Times New Roman" w:hAnsi="Times New Roman" w:eastAsia="仿宋_GB2312" w:cs="宋体"/>
                <w:color w:val="000000"/>
                <w:sz w:val="24"/>
                <w:szCs w:val="24"/>
              </w:rPr>
              <w:t>湖南大学马克思主义学院副院长、教授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vAlign w:val="center"/>
          </w:tcPr>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深化</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党史</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学习</w:t>
            </w:r>
          </w:p>
          <w:p>
            <w:pPr>
              <w:widowControl/>
              <w:jc w:val="center"/>
              <w:textAlignment w:val="center"/>
              <w:rPr>
                <w:rFonts w:ascii="Times New Roman" w:hAnsi="Times New Roman" w:eastAsia="仿宋_GB2312" w:cs="宋体"/>
                <w:b/>
                <w:bCs/>
                <w:color w:val="FF0000"/>
                <w:sz w:val="24"/>
                <w:szCs w:val="24"/>
              </w:rPr>
            </w:pPr>
            <w:r>
              <w:rPr>
                <w:rFonts w:hint="eastAsia" w:ascii="Times New Roman" w:hAnsi="Times New Roman" w:eastAsia="仿宋_GB2312" w:cs="宋体"/>
                <w:b/>
                <w:bCs/>
                <w:kern w:val="0"/>
                <w:sz w:val="24"/>
                <w:szCs w:val="24"/>
                <w:lang w:bidi="ar"/>
              </w:rPr>
              <w:t>教育</w:t>
            </w: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党的十九届六中全会暨《中共中央关于党的百年奋斗重大成就和历史经验的决议》总体解读</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刘  春</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以史为鉴开创未来的纲领性文献</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王炳林</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lang w:bidi="ar"/>
              </w:rPr>
              <w:t>中国共产党与三个历史决议</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祝  彦</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Style w:val="7"/>
                <w:rFonts w:hint="default" w:ascii="仿宋_GB2312" w:eastAsia="仿宋_GB2312"/>
                <w:sz w:val="24"/>
                <w:szCs w:val="24"/>
                <w:lang w:bidi="ar"/>
              </w:rPr>
              <w:t>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中国共产党百年奋斗的历史意义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秦  宣</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Style w:val="6"/>
                <w:rFonts w:hint="eastAsia" w:ascii="仿宋_GB2312" w:eastAsia="仿宋_GB2312"/>
                <w:b w:val="0"/>
                <w:bCs w:val="0"/>
              </w:rPr>
              <w:t>夺取新民主主义革命伟大胜利的意义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赵朝峰</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Style w:val="6"/>
                <w:rFonts w:hint="eastAsia" w:ascii="仿宋_GB2312" w:eastAsia="仿宋_GB2312"/>
                <w:b w:val="0"/>
                <w:bCs w:val="0"/>
              </w:rPr>
              <w:t>完成社会主义革命和推进社会主义建设成就和意义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周良书</w:t>
            </w:r>
          </w:p>
        </w:tc>
        <w:tc>
          <w:tcPr>
            <w:tcW w:w="1869"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Style w:val="6"/>
                <w:rFonts w:hint="eastAsia" w:ascii="仿宋_GB2312" w:eastAsia="仿宋_GB2312"/>
                <w:b w:val="0"/>
                <w:bCs w:val="0"/>
              </w:rPr>
              <w:t>进行改革开放和社会主义现代化建设成就和意义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宋学勤</w:t>
            </w:r>
          </w:p>
        </w:tc>
        <w:tc>
          <w:tcPr>
            <w:tcW w:w="1869"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中国人民大学马克思主义学院副院长、教授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中国共产党百年奋斗的历史经验</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颜晓峰</w:t>
            </w:r>
          </w:p>
        </w:tc>
        <w:tc>
          <w:tcPr>
            <w:tcW w:w="1869"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vAlign w:val="center"/>
          </w:tcPr>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共青团工作改革发展</w:t>
            </w:r>
          </w:p>
        </w:tc>
        <w:tc>
          <w:tcPr>
            <w:tcW w:w="2091"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习近平总书记关于青年干部成长的重要论述</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刘长军</w:t>
            </w:r>
          </w:p>
        </w:tc>
        <w:tc>
          <w:tcPr>
            <w:tcW w:w="1869" w:type="pct"/>
            <w:shd w:val="clear" w:color="auto" w:fill="auto"/>
            <w:vAlign w:val="center"/>
          </w:tcPr>
          <w:p>
            <w:pPr>
              <w:widowControl/>
              <w:jc w:val="left"/>
              <w:textAlignment w:val="center"/>
              <w:rPr>
                <w:rFonts w:ascii="仿宋_GB2312" w:hAnsi="宋体" w:eastAsia="仿宋_GB2312" w:cs="宋体"/>
                <w:color w:val="FF0000"/>
                <w:kern w:val="0"/>
                <w:sz w:val="24"/>
                <w:szCs w:val="24"/>
                <w:lang w:bidi="ar"/>
              </w:rPr>
            </w:pPr>
            <w:r>
              <w:rPr>
                <w:rFonts w:hint="eastAsia" w:ascii="Times New Roman" w:hAnsi="Times New Roman" w:eastAsia="仿宋_GB2312" w:cs="宋体"/>
                <w:kern w:val="0"/>
                <w:sz w:val="24"/>
                <w:szCs w:val="24"/>
                <w:lang w:bidi="ar"/>
              </w:rPr>
              <w:t>中央团校（中国青年政治学院）马克思主义学院院长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学校共青团工作研究的重点与任务</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秦  涛</w:t>
            </w:r>
          </w:p>
        </w:tc>
        <w:tc>
          <w:tcPr>
            <w:tcW w:w="1869" w:type="pct"/>
            <w:shd w:val="clear" w:color="auto" w:fill="auto"/>
            <w:vAlign w:val="center"/>
          </w:tcPr>
          <w:p>
            <w:pPr>
              <w:widowControl/>
              <w:jc w:val="left"/>
              <w:textAlignment w:val="center"/>
              <w:rPr>
                <w:rFonts w:ascii="Times New Roman" w:hAnsi="Times New Roman" w:eastAsia="仿宋_GB2312" w:cs="宋体"/>
                <w:color w:val="FF0000"/>
                <w:kern w:val="0"/>
                <w:sz w:val="24"/>
                <w:szCs w:val="24"/>
                <w:lang w:bidi="ar"/>
              </w:rPr>
            </w:pPr>
            <w:r>
              <w:rPr>
                <w:rFonts w:hint="eastAsia" w:ascii="Times New Roman" w:hAnsi="Times New Roman" w:eastAsia="仿宋_GB2312" w:cs="宋体"/>
                <w:color w:val="000000"/>
                <w:kern w:val="0"/>
                <w:sz w:val="24"/>
                <w:szCs w:val="24"/>
                <w:lang w:bidi="ar"/>
              </w:rPr>
              <w:t>全国学校共青团研究中心副主任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新时代基层团组织改革</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黄 亮</w:t>
            </w:r>
          </w:p>
        </w:tc>
        <w:tc>
          <w:tcPr>
            <w:tcW w:w="1869"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新时代全面从严治团</w:t>
            </w:r>
            <w:bookmarkStart w:id="0" w:name="_GoBack"/>
            <w:bookmarkEnd w:id="0"/>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黄  亮</w:t>
            </w:r>
          </w:p>
        </w:tc>
        <w:tc>
          <w:tcPr>
            <w:tcW w:w="1869"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vAlign w:val="center"/>
          </w:tcPr>
          <w:p>
            <w:pPr>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青年学生工作</w:t>
            </w: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团章与团务</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黄  亮</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textAlignment w:val="center"/>
              <w:rPr>
                <w:rFonts w:ascii="Times New Roman" w:hAnsi="Times New Roman" w:eastAsia="仿宋_GB2312" w:cs="宋体"/>
                <w:b/>
                <w:bCs/>
                <w:color w:val="000000"/>
                <w:kern w:val="0"/>
                <w:sz w:val="24"/>
                <w:szCs w:val="24"/>
                <w:lang w:bidi="ar"/>
              </w:rPr>
            </w:pPr>
          </w:p>
        </w:tc>
        <w:tc>
          <w:tcPr>
            <w:tcW w:w="2091" w:type="pct"/>
            <w:shd w:val="clear" w:color="auto" w:fill="auto"/>
            <w:vAlign w:val="center"/>
          </w:tcPr>
          <w:p>
            <w:pPr>
              <w:widowControl/>
              <w:jc w:val="left"/>
              <w:textAlignment w:val="center"/>
              <w:rPr>
                <w:rFonts w:ascii="Times New Roman" w:hAnsi="Times New Roman" w:eastAsia="仿宋_GB2312" w:cs="宋体"/>
                <w:color w:val="auto"/>
                <w:kern w:val="0"/>
                <w:sz w:val="24"/>
                <w:szCs w:val="24"/>
                <w:lang w:bidi="ar"/>
              </w:rPr>
            </w:pPr>
            <w:r>
              <w:rPr>
                <w:rFonts w:hint="eastAsia" w:ascii="Times New Roman" w:hAnsi="Times New Roman" w:eastAsia="仿宋_GB2312" w:cs="宋体"/>
                <w:color w:val="auto"/>
                <w:kern w:val="0"/>
                <w:sz w:val="24"/>
                <w:szCs w:val="24"/>
                <w:lang w:bidi="ar"/>
              </w:rPr>
              <w:t>《中国共产主义青年团支部工作条例（试行）》解读</w:t>
            </w:r>
          </w:p>
        </w:tc>
        <w:tc>
          <w:tcPr>
            <w:tcW w:w="572" w:type="pct"/>
            <w:shd w:val="clear" w:color="auto" w:fill="auto"/>
            <w:vAlign w:val="center"/>
          </w:tcPr>
          <w:p>
            <w:pPr>
              <w:widowControl/>
              <w:jc w:val="center"/>
              <w:textAlignment w:val="center"/>
              <w:rPr>
                <w:rFonts w:ascii="Times New Roman" w:hAnsi="Times New Roman" w:eastAsia="仿宋_GB2312" w:cs="宋体"/>
                <w:color w:val="auto"/>
                <w:kern w:val="0"/>
                <w:sz w:val="24"/>
                <w:szCs w:val="24"/>
                <w:lang w:bidi="ar"/>
              </w:rPr>
            </w:pPr>
            <w:r>
              <w:rPr>
                <w:rFonts w:hint="eastAsia" w:ascii="Times New Roman" w:hAnsi="Times New Roman" w:eastAsia="仿宋_GB2312" w:cs="宋体"/>
                <w:color w:val="auto"/>
                <w:kern w:val="0"/>
                <w:sz w:val="24"/>
                <w:szCs w:val="24"/>
                <w:lang w:bidi="ar"/>
              </w:rPr>
              <w:t>陈鹏飞</w:t>
            </w:r>
          </w:p>
        </w:tc>
        <w:tc>
          <w:tcPr>
            <w:tcW w:w="1869" w:type="pct"/>
            <w:shd w:val="clear" w:color="auto" w:fill="auto"/>
            <w:vAlign w:val="center"/>
          </w:tcPr>
          <w:p>
            <w:pPr>
              <w:widowControl/>
              <w:jc w:val="left"/>
              <w:textAlignment w:val="center"/>
              <w:rPr>
                <w:rFonts w:ascii="Times New Roman" w:hAnsi="Times New Roman" w:eastAsia="仿宋_GB2312" w:cs="宋体"/>
                <w:color w:val="auto"/>
                <w:kern w:val="0"/>
                <w:sz w:val="24"/>
                <w:szCs w:val="24"/>
                <w:lang w:bidi="ar"/>
              </w:rPr>
            </w:pPr>
            <w:r>
              <w:rPr>
                <w:rFonts w:hint="eastAsia" w:ascii="Times New Roman" w:hAnsi="Times New Roman" w:eastAsia="仿宋_GB2312" w:cs="宋体"/>
                <w:color w:val="auto"/>
                <w:kern w:val="0"/>
                <w:sz w:val="24"/>
                <w:szCs w:val="24"/>
                <w:lang w:bidi="ar"/>
              </w:rPr>
              <w:t>中央团校教务部副主任、党性教育课程组副组长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中国共产主义青年团的奋斗历程</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赵静姝</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中央团校助理研究员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大学生健康成长与共青团工作</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kern w:val="0"/>
                <w:sz w:val="24"/>
                <w:szCs w:val="24"/>
                <w:lang w:bidi="ar"/>
              </w:rPr>
              <w:t>中央团校(中国青年政治学院)习近平青年工作思想教研部主任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新时代青年干部如何践行务实担当精神</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中央团校(中国青年政治学院)习近平青年工作思想教研部主任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与新时代共成长：“双肩挑”青年干部的生涯发展</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冯仕政</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中国人民大学社会与人口学院院长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共青团干部综合素质——高校团干部的时代坐标</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刘世保</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北京青年政治学院教授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共青团干部魅力提升12法</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中央团校（中国青年政治学院）习近平青年工作思想教研部主任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大学人才培养与教育改革：理念与实践</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柯炳生</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中国农业大学原校长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高水平行业特色研究型大学人才培养体系的探索与实践</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吴林志</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哈尔滨工程大学副校长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restart"/>
            <w:shd w:val="clear" w:color="auto" w:fill="auto"/>
            <w:vAlign w:val="center"/>
          </w:tcPr>
          <w:p>
            <w:pPr>
              <w:widowControl/>
              <w:jc w:val="center"/>
              <w:textAlignment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综合素养</w:t>
            </w: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提升领导干部分析解决实际问题的能力</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胡月星</w:t>
            </w:r>
          </w:p>
        </w:tc>
        <w:tc>
          <w:tcPr>
            <w:tcW w:w="1869"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中共中央党校（国家行政学院）党的建设教研部领导科学教研室主任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学校中层管理者的执行力提升策略</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杨令平</w:t>
            </w:r>
          </w:p>
        </w:tc>
        <w:tc>
          <w:tcPr>
            <w:tcW w:w="1869"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陕西学前师范学院教育培训学院院长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鬼谷子沟通的艺术</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冯德林</w:t>
            </w:r>
          </w:p>
        </w:tc>
        <w:tc>
          <w:tcPr>
            <w:tcW w:w="1869" w:type="pct"/>
            <w:shd w:val="clear" w:color="auto" w:fill="auto"/>
            <w:noWrap/>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竺可桢文化发展中心国学院院长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网络互联时代与心理健康促进</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雷  雳</w:t>
            </w:r>
          </w:p>
        </w:tc>
        <w:tc>
          <w:tcPr>
            <w:tcW w:w="1869"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中国人民大学心理学系教授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6"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91"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公文规范与创新写作实战策略</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郑劲松</w:t>
            </w:r>
          </w:p>
        </w:tc>
        <w:tc>
          <w:tcPr>
            <w:tcW w:w="1869"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西南大学档案馆馆长</w:t>
            </w:r>
          </w:p>
        </w:tc>
      </w:tr>
    </w:tbl>
    <w:p>
      <w:pPr>
        <w:spacing w:before="156" w:beforeLines="5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注：</w:t>
      </w:r>
      <w:r>
        <w:rPr>
          <w:rFonts w:ascii="Times New Roman" w:hAnsi="Times New Roman" w:eastAsia="仿宋_GB2312" w:cs="Times New Roman"/>
          <w:bCs/>
          <w:sz w:val="24"/>
          <w:szCs w:val="24"/>
        </w:rPr>
        <w:t>1.</w:t>
      </w:r>
      <w:r>
        <w:rPr>
          <w:rFonts w:ascii="Times New Roman" w:hAnsi="Times New Roman" w:eastAsia="仿宋_GB2312" w:cs="Times New Roman"/>
          <w:sz w:val="24"/>
          <w:szCs w:val="24"/>
        </w:rPr>
        <w:t>个别课程或稍有调整，请以平台最终发布课程为准；</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7F11445A"/>
    <w:rsid w:val="30CA0773"/>
    <w:rsid w:val="7F11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Strong"/>
    <w:qFormat/>
    <w:uiPriority w:val="22"/>
    <w:rPr>
      <w:b/>
      <w:bCs/>
    </w:rPr>
  </w:style>
  <w:style w:type="character" w:customStyle="1" w:styleId="7">
    <w:name w:val="font21"/>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1656</Words>
  <Characters>1659</Characters>
  <Lines>0</Lines>
  <Paragraphs>0</Paragraphs>
  <TotalTime>1</TotalTime>
  <ScaleCrop>false</ScaleCrop>
  <LinksUpToDate>false</LinksUpToDate>
  <CharactersWithSpaces>1696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2022-07-13T06:40:00Z</dcterms:created>
  <dc:creator>一叶编舟</dc:creator>
  <cp:lastModifiedBy>一叶编舟</cp:lastModifiedBy>
  <dcterms:modified xsi:type="dcterms:W3CDTF">2022-07-13T06:44:21Z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9B25E7F7E9C045438B90017412506DD9</vt:lpwstr>
  </property>
</Properties>
</file>