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1"/>
        <w:topLinePunct/>
        <w:spacing w:beforeLines="0" w:afterLines="0" w:line="276" w:lineRule="auto"/>
        <w:rPr>
          <w:rFonts w:ascii="Times New Roman" w:hAnsi="Times New Roman"/>
        </w:rPr>
      </w:pPr>
    </w:p>
    <w:p>
      <w:pPr>
        <w:pStyle w:val="41"/>
        <w:topLinePunct/>
        <w:spacing w:beforeLines="0" w:afterLines="0" w:line="276" w:lineRule="auto"/>
        <w:rPr>
          <w:rFonts w:ascii="Times New Roman" w:hAnsi="Times New Roman"/>
        </w:rPr>
      </w:pPr>
    </w:p>
    <w:p>
      <w:pPr>
        <w:pStyle w:val="41"/>
        <w:topLinePunct/>
        <w:spacing w:beforeLines="0" w:afterLines="0" w:line="276" w:lineRule="auto"/>
        <w:rPr>
          <w:rFonts w:ascii="Times New Roman" w:hAnsi="Times New Roman"/>
        </w:rPr>
      </w:pPr>
    </w:p>
    <w:p>
      <w:pPr>
        <w:pStyle w:val="41"/>
        <w:topLinePunct/>
        <w:spacing w:beforeLines="0" w:afterLines="0" w:line="276" w:lineRule="auto"/>
        <w:rPr>
          <w:rFonts w:ascii="Times New Roman" w:hAnsi="Times New Roman"/>
        </w:rPr>
      </w:pPr>
    </w:p>
    <w:p>
      <w:pPr>
        <w:pStyle w:val="41"/>
        <w:topLinePunct/>
        <w:spacing w:beforeLines="0" w:afterLines="0" w:line="276" w:lineRule="auto"/>
        <w:rPr>
          <w:rFonts w:ascii="Times New Roman" w:hAnsi="Times New Roman"/>
        </w:rPr>
      </w:pPr>
    </w:p>
    <w:p>
      <w:pPr>
        <w:pStyle w:val="41"/>
        <w:topLinePunct/>
        <w:spacing w:beforeLines="0" w:afterLines="0" w:line="360" w:lineRule="auto"/>
        <w:rPr>
          <w:rFonts w:ascii="Times New Roman" w:hAnsi="Times New Roman"/>
          <w:sz w:val="40"/>
          <w:szCs w:val="22"/>
        </w:rPr>
      </w:pPr>
    </w:p>
    <w:p>
      <w:pPr>
        <w:spacing w:line="360" w:lineRule="auto"/>
        <w:jc w:val="center"/>
        <w:rPr>
          <w:rFonts w:eastAsia="黑体"/>
          <w:sz w:val="52"/>
          <w:szCs w:val="52"/>
        </w:rPr>
      </w:pPr>
      <w:bookmarkStart w:id="0" w:name="OLE_LINK1"/>
      <w:bookmarkStart w:id="1" w:name="OLE_LINK2"/>
      <w:r>
        <w:rPr>
          <w:rFonts w:hint="eastAsia" w:eastAsia="黑体"/>
          <w:sz w:val="52"/>
          <w:szCs w:val="52"/>
        </w:rPr>
        <w:t>建材行业标准</w:t>
      </w:r>
      <w:r>
        <w:rPr>
          <w:rFonts w:eastAsia="黑体"/>
          <w:sz w:val="52"/>
          <w:szCs w:val="52"/>
        </w:rPr>
        <w:t>《</w:t>
      </w:r>
      <w:r>
        <w:rPr>
          <w:rFonts w:hint="eastAsia" w:eastAsia="黑体"/>
          <w:sz w:val="52"/>
          <w:szCs w:val="52"/>
        </w:rPr>
        <w:t>单层防水卷材屋面工程技术规程</w:t>
      </w:r>
      <w:r>
        <w:rPr>
          <w:rFonts w:eastAsia="黑体"/>
          <w:sz w:val="52"/>
          <w:szCs w:val="52"/>
        </w:rPr>
        <w:t>》</w:t>
      </w:r>
    </w:p>
    <w:p>
      <w:pPr>
        <w:spacing w:line="360" w:lineRule="auto"/>
        <w:jc w:val="center"/>
        <w:rPr>
          <w:rFonts w:eastAsia="黑体"/>
          <w:sz w:val="44"/>
          <w:szCs w:val="44"/>
        </w:rPr>
      </w:pPr>
    </w:p>
    <w:p>
      <w:pPr>
        <w:spacing w:line="360" w:lineRule="auto"/>
        <w:jc w:val="center"/>
        <w:rPr>
          <w:rFonts w:eastAsia="黑体"/>
          <w:sz w:val="44"/>
          <w:szCs w:val="44"/>
        </w:rPr>
      </w:pPr>
      <w:r>
        <w:rPr>
          <w:rFonts w:eastAsia="黑体"/>
          <w:sz w:val="44"/>
          <w:szCs w:val="44"/>
        </w:rPr>
        <w:br w:type="textWrapping"/>
      </w:r>
      <w:r>
        <w:rPr>
          <w:rFonts w:eastAsia="黑体"/>
          <w:sz w:val="44"/>
          <w:szCs w:val="44"/>
        </w:rPr>
        <w:t>编制说明</w:t>
      </w:r>
      <w:bookmarkEnd w:id="0"/>
      <w:bookmarkEnd w:id="1"/>
    </w:p>
    <w:p>
      <w:pPr>
        <w:pStyle w:val="41"/>
        <w:topLinePunct/>
        <w:spacing w:beforeLines="0" w:afterLines="0" w:line="276" w:lineRule="auto"/>
        <w:rPr>
          <w:rFonts w:ascii="Times New Roman" w:hAnsi="Times New Roman"/>
          <w:kern w:val="10"/>
        </w:rPr>
      </w:pPr>
    </w:p>
    <w:p>
      <w:pPr>
        <w:pStyle w:val="41"/>
        <w:topLinePunct/>
        <w:spacing w:beforeLines="0" w:afterLines="0" w:line="276" w:lineRule="auto"/>
        <w:rPr>
          <w:rFonts w:ascii="Times New Roman" w:hAnsi="Times New Roman"/>
          <w:kern w:val="10"/>
        </w:rPr>
      </w:pPr>
    </w:p>
    <w:p>
      <w:pPr>
        <w:pStyle w:val="41"/>
        <w:topLinePunct/>
        <w:spacing w:beforeLines="0" w:afterLines="0" w:line="276" w:lineRule="auto"/>
        <w:rPr>
          <w:rFonts w:ascii="Times New Roman" w:hAnsi="Times New Roman"/>
          <w:kern w:val="10"/>
        </w:rPr>
      </w:pPr>
    </w:p>
    <w:p>
      <w:pPr>
        <w:pStyle w:val="41"/>
        <w:topLinePunct/>
        <w:spacing w:beforeLines="0" w:afterLines="0" w:line="276" w:lineRule="auto"/>
        <w:rPr>
          <w:rFonts w:ascii="Times New Roman" w:hAnsi="Times New Roman"/>
          <w:kern w:val="10"/>
        </w:rPr>
      </w:pPr>
    </w:p>
    <w:p>
      <w:pPr>
        <w:pStyle w:val="41"/>
        <w:topLinePunct/>
        <w:spacing w:beforeLines="0" w:afterLines="0" w:line="276" w:lineRule="auto"/>
        <w:rPr>
          <w:rFonts w:ascii="Times New Roman" w:hAnsi="Times New Roman"/>
          <w:kern w:val="10"/>
        </w:rPr>
      </w:pPr>
    </w:p>
    <w:p>
      <w:pPr>
        <w:pStyle w:val="41"/>
        <w:topLinePunct/>
        <w:spacing w:beforeLines="0" w:afterLines="0" w:line="276" w:lineRule="auto"/>
        <w:rPr>
          <w:rFonts w:ascii="Times New Roman" w:hAnsi="Times New Roman"/>
          <w:kern w:val="10"/>
        </w:rPr>
      </w:pPr>
    </w:p>
    <w:p>
      <w:pPr>
        <w:pStyle w:val="41"/>
        <w:topLinePunct/>
        <w:spacing w:beforeLines="0" w:afterLines="0" w:line="276" w:lineRule="auto"/>
        <w:rPr>
          <w:rFonts w:ascii="Times New Roman" w:hAnsi="Times New Roman"/>
          <w:kern w:val="10"/>
        </w:rPr>
      </w:pPr>
    </w:p>
    <w:p>
      <w:pPr>
        <w:pStyle w:val="41"/>
        <w:topLinePunct/>
        <w:spacing w:beforeLines="0" w:afterLines="0" w:line="276" w:lineRule="auto"/>
        <w:rPr>
          <w:rFonts w:ascii="Times New Roman" w:hAnsi="Times New Roman"/>
          <w:kern w:val="10"/>
        </w:rPr>
      </w:pPr>
    </w:p>
    <w:p>
      <w:pPr>
        <w:pStyle w:val="41"/>
        <w:topLinePunct/>
        <w:spacing w:beforeLines="0" w:afterLines="0" w:line="276" w:lineRule="auto"/>
        <w:rPr>
          <w:rFonts w:ascii="Times New Roman" w:hAnsi="Times New Roman"/>
          <w:kern w:val="10"/>
        </w:rPr>
      </w:pPr>
    </w:p>
    <w:p>
      <w:pPr>
        <w:pStyle w:val="41"/>
        <w:topLinePunct/>
        <w:spacing w:beforeLines="0" w:afterLines="0" w:line="276" w:lineRule="auto"/>
        <w:rPr>
          <w:rFonts w:ascii="Times New Roman" w:hAnsi="Times New Roman"/>
          <w:kern w:val="10"/>
        </w:rPr>
      </w:pPr>
    </w:p>
    <w:p>
      <w:pPr>
        <w:pStyle w:val="41"/>
        <w:topLinePunct/>
        <w:spacing w:beforeLines="0" w:afterLines="0" w:line="276" w:lineRule="auto"/>
        <w:rPr>
          <w:rFonts w:ascii="Times New Roman" w:hAnsi="Times New Roman"/>
          <w:kern w:val="10"/>
        </w:rPr>
      </w:pPr>
    </w:p>
    <w:p>
      <w:pPr>
        <w:pStyle w:val="41"/>
        <w:topLinePunct/>
        <w:spacing w:beforeLines="0" w:afterLines="0" w:line="276" w:lineRule="auto"/>
        <w:rPr>
          <w:rFonts w:ascii="Times New Roman" w:hAnsi="Times New Roman"/>
          <w:kern w:val="10"/>
        </w:rPr>
      </w:pPr>
    </w:p>
    <w:p>
      <w:pPr>
        <w:pStyle w:val="41"/>
        <w:topLinePunct/>
        <w:spacing w:beforeLines="0" w:afterLines="0" w:line="360" w:lineRule="auto"/>
        <w:rPr>
          <w:rFonts w:ascii="Times New Roman" w:hAnsi="Times New Roman"/>
          <w:kern w:val="10"/>
        </w:rPr>
      </w:pPr>
    </w:p>
    <w:p>
      <w:pPr>
        <w:pStyle w:val="41"/>
        <w:topLinePunct/>
        <w:spacing w:beforeLines="0" w:afterLines="0" w:line="360" w:lineRule="auto"/>
        <w:rPr>
          <w:rFonts w:ascii="Times New Roman" w:hAnsi="Times New Roman"/>
          <w:kern w:val="10"/>
          <w:szCs w:val="32"/>
        </w:rPr>
      </w:pPr>
      <w:r>
        <w:rPr>
          <w:rFonts w:hint="eastAsia" w:ascii="Times New Roman" w:hAnsi="Times New Roman"/>
          <w:kern w:val="0"/>
          <w:szCs w:val="32"/>
        </w:rPr>
        <w:t>单层卷材屋面技术规程</w:t>
      </w:r>
      <w:r>
        <w:rPr>
          <w:rFonts w:ascii="Times New Roman" w:hAnsi="Times New Roman"/>
          <w:kern w:val="0"/>
          <w:szCs w:val="32"/>
        </w:rPr>
        <w:t>编制组</w:t>
      </w:r>
    </w:p>
    <w:p>
      <w:pPr>
        <w:pStyle w:val="41"/>
        <w:topLinePunct/>
        <w:spacing w:beforeLines="0" w:afterLines="0" w:line="360" w:lineRule="auto"/>
        <w:rPr>
          <w:rFonts w:ascii="Times New Roman" w:hAnsi="Times New Roman"/>
          <w:kern w:val="10"/>
        </w:rPr>
      </w:pPr>
      <w:r>
        <w:rPr>
          <w:rFonts w:ascii="Times New Roman" w:hAnsi="Times New Roman"/>
          <w:kern w:val="0"/>
        </w:rPr>
        <w:t>202</w:t>
      </w:r>
      <w:r>
        <w:rPr>
          <w:rFonts w:hint="eastAsia" w:ascii="Times New Roman" w:hAnsi="Times New Roman"/>
          <w:kern w:val="0"/>
        </w:rPr>
        <w:t>2</w:t>
      </w:r>
      <w:r>
        <w:rPr>
          <w:rFonts w:ascii="Times New Roman" w:hAnsi="Times New Roman"/>
          <w:kern w:val="0"/>
        </w:rPr>
        <w:t>年</w:t>
      </w:r>
      <w:r>
        <w:rPr>
          <w:rFonts w:hint="eastAsia" w:ascii="Times New Roman" w:hAnsi="Times New Roman"/>
          <w:kern w:val="0"/>
          <w:lang w:val="en-US" w:eastAsia="zh-CN"/>
        </w:rPr>
        <w:t>6</w:t>
      </w:r>
      <w:r>
        <w:rPr>
          <w:rFonts w:ascii="Times New Roman" w:hAnsi="Times New Roman"/>
          <w:spacing w:val="8"/>
          <w:kern w:val="0"/>
        </w:rPr>
        <w:t>月</w:t>
      </w:r>
    </w:p>
    <w:p>
      <w:pPr>
        <w:widowControl/>
        <w:topLinePunct/>
        <w:spacing w:line="276" w:lineRule="auto"/>
        <w:jc w:val="left"/>
        <w:rPr>
          <w:kern w:val="10"/>
        </w:rPr>
        <w:sectPr>
          <w:headerReference r:id="rId3" w:type="default"/>
          <w:footerReference r:id="rId5" w:type="default"/>
          <w:headerReference r:id="rId4" w:type="even"/>
          <w:pgSz w:w="11906" w:h="16838"/>
          <w:pgMar w:top="1440" w:right="1800" w:bottom="1440" w:left="1800" w:header="737" w:footer="737" w:gutter="0"/>
          <w:pgBorders>
            <w:top w:val="none" w:sz="0" w:space="0"/>
            <w:left w:val="none" w:sz="0" w:space="0"/>
            <w:bottom w:val="none" w:sz="0" w:space="0"/>
            <w:right w:val="none" w:sz="0" w:space="0"/>
          </w:pgBorders>
          <w:cols w:space="720" w:num="1"/>
          <w:formProt w:val="0"/>
          <w:docGrid w:type="lines" w:linePitch="312" w:charSpace="0"/>
        </w:sectPr>
      </w:pPr>
      <w:r>
        <w:rPr>
          <w:kern w:val="10"/>
        </w:rPr>
        <w:br w:type="page"/>
      </w:r>
    </w:p>
    <w:p>
      <w:pPr>
        <w:spacing w:before="0" w:beforeLines="0" w:after="0" w:afterLines="0" w:line="240" w:lineRule="auto"/>
        <w:ind w:left="0" w:leftChars="0" w:right="0" w:rightChars="0" w:firstLine="0" w:firstLineChars="0"/>
        <w:jc w:val="center"/>
        <w:rPr>
          <w:b/>
          <w:bCs/>
          <w:sz w:val="52"/>
          <w:szCs w:val="72"/>
        </w:rPr>
      </w:pPr>
      <w:bookmarkStart w:id="2" w:name="_Toc20186"/>
      <w:r>
        <w:rPr>
          <w:rFonts w:ascii="宋体" w:hAnsi="宋体" w:eastAsia="宋体"/>
          <w:b/>
          <w:bCs/>
          <w:sz w:val="52"/>
          <w:szCs w:val="72"/>
        </w:rPr>
        <w:t>目</w:t>
      </w:r>
      <w:r>
        <w:rPr>
          <w:rFonts w:hint="eastAsia" w:ascii="宋体" w:hAnsi="宋体"/>
          <w:b/>
          <w:bCs/>
          <w:sz w:val="52"/>
          <w:szCs w:val="72"/>
          <w:lang w:val="en-US" w:eastAsia="zh-CN"/>
        </w:rPr>
        <w:t xml:space="preserve"> </w:t>
      </w:r>
      <w:r>
        <w:rPr>
          <w:rFonts w:ascii="宋体" w:hAnsi="宋体" w:eastAsia="宋体"/>
          <w:b/>
          <w:bCs/>
          <w:sz w:val="52"/>
          <w:szCs w:val="72"/>
        </w:rPr>
        <w:t>录</w:t>
      </w:r>
    </w:p>
    <w:p>
      <w:pPr>
        <w:pStyle w:val="16"/>
        <w:tabs>
          <w:tab w:val="right" w:leader="dot" w:pos="8300"/>
          <w:tab w:val="clear" w:pos="9241"/>
        </w:tabs>
        <w:rPr>
          <w:sz w:val="28"/>
          <w:szCs w:val="28"/>
        </w:rPr>
      </w:pPr>
      <w:r>
        <w:rPr>
          <w:sz w:val="40"/>
          <w:szCs w:val="40"/>
        </w:rPr>
        <w:fldChar w:fldCharType="begin"/>
      </w:r>
      <w:r>
        <w:rPr>
          <w:sz w:val="40"/>
          <w:szCs w:val="40"/>
        </w:rPr>
        <w:instrText xml:space="preserve">TOC \o "1-1" \h \u </w:instrText>
      </w:r>
      <w:r>
        <w:rPr>
          <w:sz w:val="40"/>
          <w:szCs w:val="40"/>
        </w:rPr>
        <w:fldChar w:fldCharType="separate"/>
      </w:r>
      <w:r>
        <w:rPr>
          <w:sz w:val="28"/>
          <w:szCs w:val="40"/>
        </w:rPr>
        <w:fldChar w:fldCharType="begin"/>
      </w:r>
      <w:r>
        <w:rPr>
          <w:sz w:val="28"/>
          <w:szCs w:val="40"/>
        </w:rPr>
        <w:instrText xml:space="preserve"> HYPERLINK \l _Toc16530 </w:instrText>
      </w:r>
      <w:r>
        <w:rPr>
          <w:sz w:val="28"/>
          <w:szCs w:val="40"/>
        </w:rPr>
        <w:fldChar w:fldCharType="separate"/>
      </w:r>
      <w:r>
        <w:rPr>
          <w:bCs/>
          <w:kern w:val="44"/>
          <w:sz w:val="28"/>
          <w:szCs w:val="56"/>
        </w:rPr>
        <w:t>一、任务来源及编制背景</w:t>
      </w:r>
      <w:r>
        <w:rPr>
          <w:sz w:val="28"/>
          <w:szCs w:val="28"/>
        </w:rPr>
        <w:tab/>
      </w:r>
      <w:r>
        <w:rPr>
          <w:sz w:val="28"/>
          <w:szCs w:val="28"/>
        </w:rPr>
        <w:fldChar w:fldCharType="begin"/>
      </w:r>
      <w:r>
        <w:rPr>
          <w:sz w:val="28"/>
          <w:szCs w:val="28"/>
        </w:rPr>
        <w:instrText xml:space="preserve"> PAGEREF _Toc16530 \h </w:instrText>
      </w:r>
      <w:r>
        <w:rPr>
          <w:sz w:val="28"/>
          <w:szCs w:val="28"/>
        </w:rPr>
        <w:fldChar w:fldCharType="separate"/>
      </w:r>
      <w:r>
        <w:rPr>
          <w:sz w:val="28"/>
          <w:szCs w:val="28"/>
        </w:rPr>
        <w:t>1</w:t>
      </w:r>
      <w:r>
        <w:rPr>
          <w:sz w:val="28"/>
          <w:szCs w:val="28"/>
        </w:rPr>
        <w:fldChar w:fldCharType="end"/>
      </w:r>
      <w:r>
        <w:rPr>
          <w:sz w:val="28"/>
          <w:szCs w:val="40"/>
        </w:rPr>
        <w:fldChar w:fldCharType="end"/>
      </w:r>
    </w:p>
    <w:p>
      <w:pPr>
        <w:pStyle w:val="16"/>
        <w:tabs>
          <w:tab w:val="right" w:leader="dot" w:pos="8300"/>
          <w:tab w:val="clear" w:pos="9241"/>
        </w:tabs>
        <w:rPr>
          <w:sz w:val="28"/>
          <w:szCs w:val="28"/>
        </w:rPr>
      </w:pPr>
      <w:r>
        <w:rPr>
          <w:sz w:val="28"/>
          <w:szCs w:val="40"/>
        </w:rPr>
        <w:fldChar w:fldCharType="begin"/>
      </w:r>
      <w:r>
        <w:rPr>
          <w:sz w:val="28"/>
          <w:szCs w:val="40"/>
        </w:rPr>
        <w:instrText xml:space="preserve"> HYPERLINK \l _Toc22656 </w:instrText>
      </w:r>
      <w:r>
        <w:rPr>
          <w:sz w:val="28"/>
          <w:szCs w:val="40"/>
        </w:rPr>
        <w:fldChar w:fldCharType="separate"/>
      </w:r>
      <w:r>
        <w:rPr>
          <w:rFonts w:hint="eastAsia"/>
          <w:sz w:val="28"/>
          <w:szCs w:val="28"/>
          <w:lang w:val="en-US" w:eastAsia="zh-CN"/>
        </w:rPr>
        <w:t>二</w:t>
      </w:r>
      <w:r>
        <w:rPr>
          <w:sz w:val="28"/>
          <w:szCs w:val="28"/>
        </w:rPr>
        <w:t>、编制原则及标准的主要技术内容说明</w:t>
      </w:r>
      <w:r>
        <w:rPr>
          <w:sz w:val="28"/>
          <w:szCs w:val="28"/>
        </w:rPr>
        <w:tab/>
      </w:r>
      <w:r>
        <w:rPr>
          <w:sz w:val="28"/>
          <w:szCs w:val="28"/>
        </w:rPr>
        <w:fldChar w:fldCharType="begin"/>
      </w:r>
      <w:r>
        <w:rPr>
          <w:sz w:val="28"/>
          <w:szCs w:val="28"/>
        </w:rPr>
        <w:instrText xml:space="preserve"> PAGEREF _Toc22656 \h </w:instrText>
      </w:r>
      <w:r>
        <w:rPr>
          <w:sz w:val="28"/>
          <w:szCs w:val="28"/>
        </w:rPr>
        <w:fldChar w:fldCharType="separate"/>
      </w:r>
      <w:r>
        <w:rPr>
          <w:sz w:val="28"/>
          <w:szCs w:val="28"/>
        </w:rPr>
        <w:t>5</w:t>
      </w:r>
      <w:r>
        <w:rPr>
          <w:sz w:val="28"/>
          <w:szCs w:val="28"/>
        </w:rPr>
        <w:fldChar w:fldCharType="end"/>
      </w:r>
      <w:r>
        <w:rPr>
          <w:sz w:val="28"/>
          <w:szCs w:val="40"/>
        </w:rPr>
        <w:fldChar w:fldCharType="end"/>
      </w:r>
    </w:p>
    <w:p>
      <w:pPr>
        <w:pStyle w:val="16"/>
        <w:tabs>
          <w:tab w:val="right" w:leader="dot" w:pos="8300"/>
          <w:tab w:val="clear" w:pos="9241"/>
        </w:tabs>
        <w:rPr>
          <w:sz w:val="28"/>
          <w:szCs w:val="28"/>
        </w:rPr>
      </w:pPr>
      <w:r>
        <w:rPr>
          <w:sz w:val="28"/>
          <w:szCs w:val="40"/>
        </w:rPr>
        <w:fldChar w:fldCharType="begin"/>
      </w:r>
      <w:r>
        <w:rPr>
          <w:sz w:val="28"/>
          <w:szCs w:val="40"/>
        </w:rPr>
        <w:instrText xml:space="preserve"> HYPERLINK \l _Toc17147 </w:instrText>
      </w:r>
      <w:r>
        <w:rPr>
          <w:sz w:val="28"/>
          <w:szCs w:val="40"/>
        </w:rPr>
        <w:fldChar w:fldCharType="separate"/>
      </w:r>
      <w:r>
        <w:rPr>
          <w:rFonts w:hint="eastAsia"/>
          <w:sz w:val="28"/>
          <w:szCs w:val="28"/>
          <w:lang w:eastAsia="zh-CN"/>
        </w:rPr>
        <w:t>三</w:t>
      </w:r>
      <w:r>
        <w:rPr>
          <w:rFonts w:hint="eastAsia"/>
          <w:sz w:val="28"/>
          <w:szCs w:val="28"/>
        </w:rPr>
        <w:t>、标准的知识产权情况</w:t>
      </w:r>
      <w:r>
        <w:rPr>
          <w:sz w:val="28"/>
          <w:szCs w:val="28"/>
        </w:rPr>
        <w:tab/>
      </w:r>
      <w:r>
        <w:rPr>
          <w:sz w:val="28"/>
          <w:szCs w:val="28"/>
        </w:rPr>
        <w:fldChar w:fldCharType="begin"/>
      </w:r>
      <w:r>
        <w:rPr>
          <w:sz w:val="28"/>
          <w:szCs w:val="28"/>
        </w:rPr>
        <w:instrText xml:space="preserve"> PAGEREF _Toc17147 \h </w:instrText>
      </w:r>
      <w:r>
        <w:rPr>
          <w:sz w:val="28"/>
          <w:szCs w:val="28"/>
        </w:rPr>
        <w:fldChar w:fldCharType="separate"/>
      </w:r>
      <w:r>
        <w:rPr>
          <w:sz w:val="28"/>
          <w:szCs w:val="28"/>
        </w:rPr>
        <w:t>26</w:t>
      </w:r>
      <w:r>
        <w:rPr>
          <w:sz w:val="28"/>
          <w:szCs w:val="28"/>
        </w:rPr>
        <w:fldChar w:fldCharType="end"/>
      </w:r>
      <w:r>
        <w:rPr>
          <w:sz w:val="28"/>
          <w:szCs w:val="40"/>
        </w:rPr>
        <w:fldChar w:fldCharType="end"/>
      </w:r>
    </w:p>
    <w:p>
      <w:pPr>
        <w:pStyle w:val="16"/>
        <w:tabs>
          <w:tab w:val="right" w:leader="dot" w:pos="8300"/>
          <w:tab w:val="clear" w:pos="9241"/>
        </w:tabs>
        <w:rPr>
          <w:sz w:val="28"/>
          <w:szCs w:val="28"/>
        </w:rPr>
      </w:pPr>
      <w:r>
        <w:rPr>
          <w:sz w:val="28"/>
          <w:szCs w:val="40"/>
        </w:rPr>
        <w:fldChar w:fldCharType="begin"/>
      </w:r>
      <w:r>
        <w:rPr>
          <w:sz w:val="28"/>
          <w:szCs w:val="40"/>
        </w:rPr>
        <w:instrText xml:space="preserve"> HYPERLINK \l _Toc9895 </w:instrText>
      </w:r>
      <w:r>
        <w:rPr>
          <w:sz w:val="28"/>
          <w:szCs w:val="40"/>
        </w:rPr>
        <w:fldChar w:fldCharType="separate"/>
      </w:r>
      <w:r>
        <w:rPr>
          <w:rFonts w:hint="eastAsia"/>
          <w:sz w:val="28"/>
          <w:szCs w:val="28"/>
          <w:lang w:eastAsia="zh-CN"/>
        </w:rPr>
        <w:t>四</w:t>
      </w:r>
      <w:r>
        <w:rPr>
          <w:rFonts w:hint="eastAsia"/>
          <w:sz w:val="28"/>
          <w:szCs w:val="28"/>
        </w:rPr>
        <w:t>、标准预期达到的效果</w:t>
      </w:r>
      <w:r>
        <w:rPr>
          <w:sz w:val="28"/>
          <w:szCs w:val="28"/>
        </w:rPr>
        <w:tab/>
      </w:r>
      <w:r>
        <w:rPr>
          <w:sz w:val="28"/>
          <w:szCs w:val="28"/>
        </w:rPr>
        <w:fldChar w:fldCharType="begin"/>
      </w:r>
      <w:r>
        <w:rPr>
          <w:sz w:val="28"/>
          <w:szCs w:val="28"/>
        </w:rPr>
        <w:instrText xml:space="preserve"> PAGEREF _Toc9895 \h </w:instrText>
      </w:r>
      <w:r>
        <w:rPr>
          <w:sz w:val="28"/>
          <w:szCs w:val="28"/>
        </w:rPr>
        <w:fldChar w:fldCharType="separate"/>
      </w:r>
      <w:r>
        <w:rPr>
          <w:sz w:val="28"/>
          <w:szCs w:val="28"/>
        </w:rPr>
        <w:t>26</w:t>
      </w:r>
      <w:r>
        <w:rPr>
          <w:sz w:val="28"/>
          <w:szCs w:val="28"/>
        </w:rPr>
        <w:fldChar w:fldCharType="end"/>
      </w:r>
      <w:r>
        <w:rPr>
          <w:sz w:val="28"/>
          <w:szCs w:val="40"/>
        </w:rPr>
        <w:fldChar w:fldCharType="end"/>
      </w:r>
    </w:p>
    <w:p>
      <w:pPr>
        <w:pStyle w:val="16"/>
        <w:tabs>
          <w:tab w:val="right" w:leader="dot" w:pos="8300"/>
          <w:tab w:val="clear" w:pos="9241"/>
        </w:tabs>
        <w:rPr>
          <w:sz w:val="28"/>
          <w:szCs w:val="28"/>
        </w:rPr>
      </w:pPr>
      <w:r>
        <w:rPr>
          <w:sz w:val="28"/>
          <w:szCs w:val="40"/>
        </w:rPr>
        <w:fldChar w:fldCharType="begin"/>
      </w:r>
      <w:r>
        <w:rPr>
          <w:sz w:val="28"/>
          <w:szCs w:val="40"/>
        </w:rPr>
        <w:instrText xml:space="preserve"> HYPERLINK \l _Toc9336 </w:instrText>
      </w:r>
      <w:r>
        <w:rPr>
          <w:sz w:val="28"/>
          <w:szCs w:val="40"/>
        </w:rPr>
        <w:fldChar w:fldCharType="separate"/>
      </w:r>
      <w:r>
        <w:rPr>
          <w:rFonts w:hint="eastAsia"/>
          <w:sz w:val="28"/>
          <w:szCs w:val="28"/>
          <w:lang w:eastAsia="zh-CN"/>
        </w:rPr>
        <w:t>五</w:t>
      </w:r>
      <w:r>
        <w:rPr>
          <w:rFonts w:hint="eastAsia"/>
          <w:sz w:val="28"/>
          <w:szCs w:val="28"/>
        </w:rPr>
        <w:t>、国内外标准情况</w:t>
      </w:r>
      <w:r>
        <w:rPr>
          <w:sz w:val="28"/>
          <w:szCs w:val="28"/>
        </w:rPr>
        <w:tab/>
      </w:r>
      <w:r>
        <w:rPr>
          <w:sz w:val="28"/>
          <w:szCs w:val="28"/>
        </w:rPr>
        <w:fldChar w:fldCharType="begin"/>
      </w:r>
      <w:r>
        <w:rPr>
          <w:sz w:val="28"/>
          <w:szCs w:val="28"/>
        </w:rPr>
        <w:instrText xml:space="preserve"> PAGEREF _Toc9336 \h </w:instrText>
      </w:r>
      <w:r>
        <w:rPr>
          <w:sz w:val="28"/>
          <w:szCs w:val="28"/>
        </w:rPr>
        <w:fldChar w:fldCharType="separate"/>
      </w:r>
      <w:r>
        <w:rPr>
          <w:sz w:val="28"/>
          <w:szCs w:val="28"/>
        </w:rPr>
        <w:t>26</w:t>
      </w:r>
      <w:r>
        <w:rPr>
          <w:sz w:val="28"/>
          <w:szCs w:val="28"/>
        </w:rPr>
        <w:fldChar w:fldCharType="end"/>
      </w:r>
      <w:r>
        <w:rPr>
          <w:sz w:val="28"/>
          <w:szCs w:val="40"/>
        </w:rPr>
        <w:fldChar w:fldCharType="end"/>
      </w:r>
    </w:p>
    <w:p>
      <w:pPr>
        <w:pStyle w:val="16"/>
        <w:tabs>
          <w:tab w:val="right" w:leader="dot" w:pos="8300"/>
          <w:tab w:val="clear" w:pos="9241"/>
        </w:tabs>
        <w:rPr>
          <w:sz w:val="28"/>
          <w:szCs w:val="28"/>
        </w:rPr>
      </w:pPr>
      <w:r>
        <w:rPr>
          <w:sz w:val="28"/>
          <w:szCs w:val="40"/>
        </w:rPr>
        <w:fldChar w:fldCharType="begin"/>
      </w:r>
      <w:r>
        <w:rPr>
          <w:sz w:val="28"/>
          <w:szCs w:val="40"/>
        </w:rPr>
        <w:instrText xml:space="preserve"> HYPERLINK \l _Toc14842 </w:instrText>
      </w:r>
      <w:r>
        <w:rPr>
          <w:sz w:val="28"/>
          <w:szCs w:val="40"/>
        </w:rPr>
        <w:fldChar w:fldCharType="separate"/>
      </w:r>
      <w:r>
        <w:rPr>
          <w:rFonts w:hint="eastAsia"/>
          <w:sz w:val="28"/>
          <w:szCs w:val="28"/>
          <w:lang w:eastAsia="zh-CN"/>
        </w:rPr>
        <w:t>六</w:t>
      </w:r>
      <w:r>
        <w:rPr>
          <w:rFonts w:hint="eastAsia"/>
          <w:sz w:val="28"/>
          <w:szCs w:val="28"/>
        </w:rPr>
        <w:t>、与现行法规等的协调性</w:t>
      </w:r>
      <w:r>
        <w:rPr>
          <w:sz w:val="28"/>
          <w:szCs w:val="28"/>
        </w:rPr>
        <w:tab/>
      </w:r>
      <w:r>
        <w:rPr>
          <w:sz w:val="28"/>
          <w:szCs w:val="28"/>
        </w:rPr>
        <w:fldChar w:fldCharType="begin"/>
      </w:r>
      <w:r>
        <w:rPr>
          <w:sz w:val="28"/>
          <w:szCs w:val="28"/>
        </w:rPr>
        <w:instrText xml:space="preserve"> PAGEREF _Toc14842 \h </w:instrText>
      </w:r>
      <w:r>
        <w:rPr>
          <w:sz w:val="28"/>
          <w:szCs w:val="28"/>
        </w:rPr>
        <w:fldChar w:fldCharType="separate"/>
      </w:r>
      <w:r>
        <w:rPr>
          <w:sz w:val="28"/>
          <w:szCs w:val="28"/>
        </w:rPr>
        <w:t>29</w:t>
      </w:r>
      <w:r>
        <w:rPr>
          <w:sz w:val="28"/>
          <w:szCs w:val="28"/>
        </w:rPr>
        <w:fldChar w:fldCharType="end"/>
      </w:r>
      <w:r>
        <w:rPr>
          <w:sz w:val="28"/>
          <w:szCs w:val="40"/>
        </w:rPr>
        <w:fldChar w:fldCharType="end"/>
      </w:r>
    </w:p>
    <w:p>
      <w:pPr>
        <w:pStyle w:val="16"/>
        <w:tabs>
          <w:tab w:val="right" w:leader="dot" w:pos="8300"/>
          <w:tab w:val="clear" w:pos="9241"/>
        </w:tabs>
        <w:rPr>
          <w:sz w:val="28"/>
          <w:szCs w:val="28"/>
        </w:rPr>
      </w:pPr>
      <w:r>
        <w:rPr>
          <w:sz w:val="28"/>
          <w:szCs w:val="40"/>
        </w:rPr>
        <w:fldChar w:fldCharType="begin"/>
      </w:r>
      <w:r>
        <w:rPr>
          <w:sz w:val="28"/>
          <w:szCs w:val="40"/>
        </w:rPr>
        <w:instrText xml:space="preserve"> HYPERLINK \l _Toc28740 </w:instrText>
      </w:r>
      <w:r>
        <w:rPr>
          <w:sz w:val="28"/>
          <w:szCs w:val="40"/>
        </w:rPr>
        <w:fldChar w:fldCharType="separate"/>
      </w:r>
      <w:r>
        <w:rPr>
          <w:rFonts w:hint="eastAsia"/>
          <w:sz w:val="28"/>
          <w:szCs w:val="28"/>
          <w:lang w:eastAsia="zh-CN"/>
        </w:rPr>
        <w:t>七</w:t>
      </w:r>
      <w:r>
        <w:rPr>
          <w:rFonts w:hint="eastAsia"/>
          <w:sz w:val="28"/>
          <w:szCs w:val="28"/>
        </w:rPr>
        <w:t>、重大分歧及处理和依据</w:t>
      </w:r>
      <w:r>
        <w:rPr>
          <w:sz w:val="28"/>
          <w:szCs w:val="28"/>
        </w:rPr>
        <w:tab/>
      </w:r>
      <w:r>
        <w:rPr>
          <w:sz w:val="28"/>
          <w:szCs w:val="28"/>
        </w:rPr>
        <w:fldChar w:fldCharType="begin"/>
      </w:r>
      <w:r>
        <w:rPr>
          <w:sz w:val="28"/>
          <w:szCs w:val="28"/>
        </w:rPr>
        <w:instrText xml:space="preserve"> PAGEREF _Toc28740 \h </w:instrText>
      </w:r>
      <w:r>
        <w:rPr>
          <w:sz w:val="28"/>
          <w:szCs w:val="28"/>
        </w:rPr>
        <w:fldChar w:fldCharType="separate"/>
      </w:r>
      <w:r>
        <w:rPr>
          <w:sz w:val="28"/>
          <w:szCs w:val="28"/>
        </w:rPr>
        <w:t>29</w:t>
      </w:r>
      <w:r>
        <w:rPr>
          <w:sz w:val="28"/>
          <w:szCs w:val="28"/>
        </w:rPr>
        <w:fldChar w:fldCharType="end"/>
      </w:r>
      <w:r>
        <w:rPr>
          <w:sz w:val="28"/>
          <w:szCs w:val="40"/>
        </w:rPr>
        <w:fldChar w:fldCharType="end"/>
      </w:r>
    </w:p>
    <w:p>
      <w:pPr>
        <w:pStyle w:val="16"/>
        <w:tabs>
          <w:tab w:val="right" w:leader="dot" w:pos="8300"/>
          <w:tab w:val="clear" w:pos="9241"/>
        </w:tabs>
        <w:rPr>
          <w:sz w:val="28"/>
          <w:szCs w:val="28"/>
        </w:rPr>
      </w:pPr>
      <w:r>
        <w:rPr>
          <w:sz w:val="28"/>
          <w:szCs w:val="40"/>
        </w:rPr>
        <w:fldChar w:fldCharType="begin"/>
      </w:r>
      <w:r>
        <w:rPr>
          <w:sz w:val="28"/>
          <w:szCs w:val="40"/>
        </w:rPr>
        <w:instrText xml:space="preserve"> HYPERLINK \l _Toc15844 </w:instrText>
      </w:r>
      <w:r>
        <w:rPr>
          <w:sz w:val="28"/>
          <w:szCs w:val="40"/>
        </w:rPr>
        <w:fldChar w:fldCharType="separate"/>
      </w:r>
      <w:r>
        <w:rPr>
          <w:rFonts w:hint="eastAsia"/>
          <w:sz w:val="28"/>
          <w:szCs w:val="28"/>
          <w:lang w:eastAsia="zh-CN"/>
        </w:rPr>
        <w:t>八</w:t>
      </w:r>
      <w:r>
        <w:rPr>
          <w:rFonts w:hint="eastAsia"/>
          <w:sz w:val="28"/>
          <w:szCs w:val="28"/>
        </w:rPr>
        <w:t>、标准性质的建议说明</w:t>
      </w:r>
      <w:r>
        <w:rPr>
          <w:sz w:val="28"/>
          <w:szCs w:val="28"/>
        </w:rPr>
        <w:tab/>
      </w:r>
      <w:r>
        <w:rPr>
          <w:sz w:val="28"/>
          <w:szCs w:val="28"/>
        </w:rPr>
        <w:fldChar w:fldCharType="begin"/>
      </w:r>
      <w:r>
        <w:rPr>
          <w:sz w:val="28"/>
          <w:szCs w:val="28"/>
        </w:rPr>
        <w:instrText xml:space="preserve"> PAGEREF _Toc15844 \h </w:instrText>
      </w:r>
      <w:r>
        <w:rPr>
          <w:sz w:val="28"/>
          <w:szCs w:val="28"/>
        </w:rPr>
        <w:fldChar w:fldCharType="separate"/>
      </w:r>
      <w:r>
        <w:rPr>
          <w:sz w:val="28"/>
          <w:szCs w:val="28"/>
        </w:rPr>
        <w:t>29</w:t>
      </w:r>
      <w:r>
        <w:rPr>
          <w:sz w:val="28"/>
          <w:szCs w:val="28"/>
        </w:rPr>
        <w:fldChar w:fldCharType="end"/>
      </w:r>
      <w:r>
        <w:rPr>
          <w:sz w:val="28"/>
          <w:szCs w:val="40"/>
        </w:rPr>
        <w:fldChar w:fldCharType="end"/>
      </w:r>
    </w:p>
    <w:p>
      <w:r>
        <w:rPr>
          <w:sz w:val="40"/>
          <w:szCs w:val="40"/>
        </w:rPr>
        <w:fldChar w:fldCharType="end"/>
      </w:r>
    </w:p>
    <w:p>
      <w:pPr>
        <w:outlineLvl w:val="0"/>
        <w:sectPr>
          <w:footerReference r:id="rId6" w:type="default"/>
          <w:pgSz w:w="11906" w:h="16838"/>
          <w:pgMar w:top="1440" w:right="1803" w:bottom="1440" w:left="1803" w:header="737" w:footer="737" w:gutter="0"/>
          <w:pgBorders>
            <w:top w:val="none" w:sz="0" w:space="0"/>
            <w:left w:val="none" w:sz="0" w:space="0"/>
            <w:bottom w:val="none" w:sz="0" w:space="0"/>
            <w:right w:val="none" w:sz="0" w:space="0"/>
          </w:pgBorders>
          <w:cols w:space="0" w:num="1"/>
          <w:formProt w:val="0"/>
          <w:rtlGutter w:val="0"/>
          <w:docGrid w:type="lines" w:linePitch="319" w:charSpace="0"/>
        </w:sectPr>
      </w:pPr>
      <w:bookmarkStart w:id="3" w:name="_Toc16530"/>
      <w:bookmarkStart w:id="4" w:name="_Toc18311"/>
    </w:p>
    <w:p>
      <w:pPr>
        <w:outlineLvl w:val="0"/>
        <w:rPr>
          <w:sz w:val="28"/>
          <w:szCs w:val="48"/>
        </w:rPr>
      </w:pPr>
      <w:r>
        <w:rPr>
          <w:b/>
          <w:bCs/>
          <w:kern w:val="44"/>
          <w:sz w:val="24"/>
          <w:szCs w:val="44"/>
        </w:rPr>
        <w:t>一、任务来源及编制背景</w:t>
      </w:r>
      <w:bookmarkEnd w:id="2"/>
      <w:bookmarkEnd w:id="3"/>
      <w:bookmarkEnd w:id="4"/>
    </w:p>
    <w:p>
      <w:pPr>
        <w:pStyle w:val="40"/>
        <w:spacing w:before="156" w:after="156" w:line="276" w:lineRule="auto"/>
        <w:rPr>
          <w:rFonts w:ascii="Times New Roman" w:hAnsi="Times New Roman" w:cs="Times New Roman"/>
          <w:sz w:val="22"/>
          <w:szCs w:val="22"/>
        </w:rPr>
      </w:pPr>
      <w:bookmarkStart w:id="5" w:name="_Toc222553786"/>
      <w:bookmarkStart w:id="6" w:name="_Toc36132041"/>
      <w:bookmarkStart w:id="7" w:name="_Toc242585740"/>
      <w:bookmarkStart w:id="8" w:name="_Toc371511494"/>
      <w:r>
        <w:rPr>
          <w:rFonts w:hint="eastAsia" w:ascii="Times New Roman" w:hAnsi="Times New Roman" w:cs="Times New Roman"/>
          <w:sz w:val="22"/>
          <w:szCs w:val="22"/>
        </w:rPr>
        <w:t>1.1 任务来源</w:t>
      </w:r>
      <w:bookmarkEnd w:id="5"/>
      <w:bookmarkEnd w:id="6"/>
      <w:bookmarkEnd w:id="7"/>
      <w:bookmarkEnd w:id="8"/>
    </w:p>
    <w:p>
      <w:pPr>
        <w:spacing w:line="360" w:lineRule="auto"/>
        <w:ind w:firstLine="431" w:firstLineChars="196"/>
        <w:jc w:val="left"/>
        <w:rPr>
          <w:sz w:val="22"/>
          <w:szCs w:val="22"/>
        </w:rPr>
      </w:pPr>
      <w:r>
        <w:rPr>
          <w:rFonts w:hint="eastAsia"/>
          <w:sz w:val="22"/>
          <w:szCs w:val="22"/>
        </w:rPr>
        <w:t>近年来，国内屋面防水工程采用单层防水卷材作为防水层的工程项目取得了较好的发展，工程材料、施工工艺、技术措施等的进步，配套材料、机械固定件以及标准规范等的完善，都对单层防水卷材屋面工程技术的推广与应用起到了有利的推动作用。</w:t>
      </w:r>
    </w:p>
    <w:p>
      <w:pPr>
        <w:spacing w:line="360" w:lineRule="auto"/>
        <w:ind w:firstLine="431" w:firstLineChars="196"/>
        <w:jc w:val="left"/>
        <w:rPr>
          <w:sz w:val="22"/>
          <w:szCs w:val="22"/>
        </w:rPr>
      </w:pPr>
      <w:r>
        <w:rPr>
          <w:rFonts w:hint="eastAsia"/>
          <w:sz w:val="22"/>
          <w:szCs w:val="22"/>
        </w:rPr>
        <w:t>根据工业和信息化部办公厅《关于印发&lt;2019年第二批行业标准制修订项目计划&gt;的通知》（工信厅科函[2019]195号）的要求，《单层防水卷材工程技术规程》获准制定，计划号：2019-0767T-JC。该标准由中国建筑防水协会和中国江苏国际经济技术合作公司主编，中冶建筑研究总院有限公司、中国建材检验验证集团苏州公司、北京东方雨虹防水技术股份有限公司、北新防水有限公司、科顺防水科技股份有限公司等单位参与，共同负责编制。</w:t>
      </w:r>
    </w:p>
    <w:p>
      <w:pPr>
        <w:spacing w:line="360" w:lineRule="auto"/>
        <w:ind w:firstLine="431" w:firstLineChars="196"/>
        <w:jc w:val="left"/>
        <w:rPr>
          <w:sz w:val="22"/>
          <w:szCs w:val="22"/>
        </w:rPr>
      </w:pPr>
      <w:r>
        <w:rPr>
          <w:rFonts w:hint="eastAsia"/>
          <w:sz w:val="22"/>
          <w:szCs w:val="22"/>
        </w:rPr>
        <w:t>本标准由建材工业综合标准化技术委员会归口管理，由中国建筑材料联合会提出。</w:t>
      </w:r>
    </w:p>
    <w:p>
      <w:pPr>
        <w:pStyle w:val="40"/>
        <w:spacing w:before="156" w:after="156" w:line="276" w:lineRule="auto"/>
        <w:rPr>
          <w:rFonts w:ascii="Times New Roman" w:hAnsi="Times New Roman" w:cs="Times New Roman"/>
          <w:sz w:val="22"/>
          <w:szCs w:val="22"/>
        </w:rPr>
      </w:pPr>
      <w:bookmarkStart w:id="9" w:name="_Toc36132042"/>
      <w:r>
        <w:rPr>
          <w:rFonts w:hint="eastAsia" w:ascii="Times New Roman" w:hAnsi="Times New Roman" w:cs="Times New Roman"/>
          <w:sz w:val="22"/>
          <w:szCs w:val="22"/>
        </w:rPr>
        <w:t xml:space="preserve">1.2 </w:t>
      </w:r>
      <w:bookmarkEnd w:id="9"/>
      <w:r>
        <w:rPr>
          <w:rFonts w:hint="eastAsia" w:ascii="Times New Roman" w:hAnsi="Times New Roman" w:cs="Times New Roman"/>
          <w:sz w:val="22"/>
          <w:szCs w:val="22"/>
        </w:rPr>
        <w:t>标准制定的背景及必要性</w:t>
      </w:r>
    </w:p>
    <w:p>
      <w:pPr>
        <w:spacing w:line="360" w:lineRule="auto"/>
        <w:ind w:firstLine="431" w:firstLineChars="196"/>
        <w:rPr>
          <w:sz w:val="22"/>
          <w:szCs w:val="22"/>
        </w:rPr>
      </w:pPr>
      <w:r>
        <w:rPr>
          <w:rFonts w:hint="eastAsia"/>
          <w:sz w:val="22"/>
          <w:szCs w:val="22"/>
        </w:rPr>
        <w:t>单层卷材防水屋面是屋面工程的一个重要分支，主要是指热塑性聚烯烃（TPO）防水卷材、聚氯乙烯（PVC）防水卷材、三元乙丙橡胶（EPDM）防水卷材、酮乙烯酯（KEE）防水卷材等外露单层使用，以机械固定施工方式为主、满粘或空铺压顶施工方式为辅的屋面系统。一般适用于工业厂房建筑、体育场馆、商业建筑、展览馆、机场、候车大厅和公共建筑等大跨度屋面建设及一级住宅屋面工程，是一种减少屋面构造层次、节约资源和提高建筑节能的新型屋面系统。</w:t>
      </w:r>
    </w:p>
    <w:p>
      <w:pPr>
        <w:spacing w:line="360" w:lineRule="auto"/>
        <w:ind w:firstLine="431" w:firstLineChars="196"/>
        <w:rPr>
          <w:sz w:val="22"/>
          <w:szCs w:val="22"/>
        </w:rPr>
      </w:pPr>
      <w:r>
        <w:rPr>
          <w:rFonts w:hint="eastAsia"/>
          <w:sz w:val="22"/>
          <w:szCs w:val="22"/>
        </w:rPr>
        <w:t>采用单层防水卷材作为防水层的施工项目，在欧美等发达国家已经有近40年以上的实践经验，工程质量和技术经济效益显著，在屋面施工工程中份额占有量较大。该技术引入中国建筑防水市场近20年，在较多大型的工业建筑屋面工程中实现应用，施工效果良好。在应用不断扩大的同时，适用于单层防水卷材屋面的高分子防水材料取得了快速的发展与提升，然而在生产许可制度的取消、原材料采购价格大幅上涨、房地产市场需求端下滑的大背景下，建筑防水工程的投标中标价格出现较大的风险，对防水材料的质量以及防水工程质量形成不利的影响，有较大的风险隐患。</w:t>
      </w:r>
    </w:p>
    <w:p>
      <w:pPr>
        <w:spacing w:line="360" w:lineRule="auto"/>
        <w:ind w:firstLine="431" w:firstLineChars="196"/>
        <w:rPr>
          <w:sz w:val="22"/>
          <w:szCs w:val="22"/>
        </w:rPr>
      </w:pPr>
      <w:r>
        <w:rPr>
          <w:rFonts w:hint="eastAsia"/>
          <w:sz w:val="22"/>
          <w:szCs w:val="22"/>
        </w:rPr>
        <w:t>全文强制国家标准《建筑与市政防水工程通用技术规范》（以下简称《规范》）已完成报批，处于待发布阶段，预计2022年完成。与全文强制标准相关的主要工程建设标准《地下防水工程技术标准》（GB 50108）、《屋面工程技术标准》（GB50345）、《坡屋面工程技术标准》（GB50693）、《种植屋面工程技术规程》（JGJ155）、《屋面工程质量验收规范》（GB 50207）、《地下防水工程质量验收规范》（GB 50208）、《城市桥梁桥面防水工程技术规程》（CJJ139）等均已列入修订计划并开始修订。其中《规范》与《屋面工程技术规范》这两项标准均在对防水设计使用年限、防水层构造要求、防水材料性能等方面提出更高的要求。</w:t>
      </w:r>
    </w:p>
    <w:p>
      <w:pPr>
        <w:spacing w:line="360" w:lineRule="auto"/>
        <w:ind w:firstLine="431" w:firstLineChars="196"/>
        <w:rPr>
          <w:rFonts w:hint="eastAsia"/>
          <w:sz w:val="22"/>
          <w:szCs w:val="22"/>
        </w:rPr>
      </w:pPr>
      <w:r>
        <w:rPr>
          <w:rFonts w:hint="eastAsia"/>
          <w:sz w:val="22"/>
          <w:szCs w:val="22"/>
        </w:rPr>
        <w:t>为保证单层防水卷材屋面在国内快速发展中材料性能、施工技术的提高，同时适应标准规范提升、防水行业转型升级的相关要求，使得行业通行的标准规范能够真正的服务于行业良性发展、起到引领性的作用，高标准严要求的《单层防水卷材屋面工程技术规程》的制定是有必要的。</w:t>
      </w:r>
      <w:r>
        <w:rPr>
          <w:rFonts w:hint="eastAsia"/>
          <w:sz w:val="22"/>
          <w:szCs w:val="22"/>
          <w:lang w:eastAsia="zh-CN"/>
        </w:rPr>
        <w:t>住建部</w:t>
      </w:r>
      <w:r>
        <w:rPr>
          <w:rFonts w:hint="eastAsia"/>
          <w:sz w:val="22"/>
          <w:szCs w:val="22"/>
          <w:highlight w:val="none"/>
          <w:lang w:eastAsia="zh-CN"/>
        </w:rPr>
        <w:t>《单层防水卷材屋面工程技术规程》</w:t>
      </w:r>
      <w:r>
        <w:rPr>
          <w:rFonts w:hint="eastAsia"/>
          <w:sz w:val="22"/>
          <w:szCs w:val="22"/>
          <w:highlight w:val="none"/>
          <w:lang w:val="en-US" w:eastAsia="zh-CN"/>
        </w:rPr>
        <w:t>JGJ/T 316</w:t>
      </w:r>
      <w:r>
        <w:rPr>
          <w:rFonts w:hint="eastAsia"/>
          <w:sz w:val="22"/>
          <w:szCs w:val="22"/>
        </w:rPr>
        <w:t>的推广应用中，对单层卷材屋面工程的系统工程设计、施工、验收等给予了教高的指导作用，提升了单层卷材屋面工程的质量与系统可靠性。而建材行业</w:t>
      </w:r>
      <w:r>
        <w:rPr>
          <w:rFonts w:hint="eastAsia"/>
          <w:sz w:val="22"/>
          <w:szCs w:val="22"/>
          <w:lang w:eastAsia="zh-CN"/>
        </w:rPr>
        <w:t>标准</w:t>
      </w:r>
      <w:r>
        <w:rPr>
          <w:rFonts w:hint="eastAsia"/>
          <w:sz w:val="22"/>
          <w:szCs w:val="22"/>
        </w:rPr>
        <w:t>《单层防水卷材工程技术规程》的制定，将更多的以防水材料为出发点，从屋面防水设计、材料选用、配套材料、工艺工法以及质量验收等方面，进一步对防水环节的质量控制提出严格的要求，对于采用单层防水卷材作为防水层的屋面防水工程具有重要的指导意义，在保证防水施工质量方面起到积极的作用。</w:t>
      </w:r>
    </w:p>
    <w:p>
      <w:pPr>
        <w:spacing w:line="360" w:lineRule="auto"/>
        <w:ind w:firstLine="431" w:firstLineChars="196"/>
        <w:rPr>
          <w:rFonts w:hint="eastAsia"/>
          <w:sz w:val="22"/>
          <w:szCs w:val="22"/>
        </w:rPr>
      </w:pPr>
      <w:r>
        <w:rPr>
          <w:rFonts w:hint="eastAsia"/>
          <w:sz w:val="22"/>
          <w:szCs w:val="22"/>
        </w:rPr>
        <w:t>本标准的制定，对于防水行业从事专用于单层防水卷材屋面用高分子防水卷材生产的企业以及从事单层防水卷材屋面防水工程承包的企业来说，有了选材、选配套以及材料标准化施工等方面的标准衡量尺度，也为全文强制国家标准《建筑与市政工程防水通用规范》</w:t>
      </w:r>
      <w:r>
        <w:rPr>
          <w:rFonts w:hint="eastAsia"/>
          <w:sz w:val="22"/>
          <w:szCs w:val="22"/>
          <w:lang w:eastAsia="zh-CN"/>
        </w:rPr>
        <w:t>（报批稿）</w:t>
      </w:r>
      <w:r>
        <w:rPr>
          <w:rFonts w:hint="eastAsia"/>
          <w:sz w:val="22"/>
          <w:szCs w:val="22"/>
        </w:rPr>
        <w:t>的批准试行提供了较好的前期基础，保证了屋面防水工程的质量与防水可靠性。尤其是在目前国家经济环境不稳定、大基建发展需侧重的背景下，高质量发展成为各行业的首要目标，也是政府加强行业监管的首要目的。</w:t>
      </w:r>
    </w:p>
    <w:p>
      <w:pPr>
        <w:pStyle w:val="40"/>
        <w:spacing w:before="156" w:after="156" w:line="276" w:lineRule="auto"/>
        <w:rPr>
          <w:rFonts w:cs="Times New Roman"/>
          <w:sz w:val="22"/>
          <w:szCs w:val="22"/>
        </w:rPr>
      </w:pPr>
      <w:r>
        <w:rPr>
          <w:rFonts w:hint="eastAsia" w:ascii="Times New Roman" w:hAnsi="Times New Roman" w:cs="Times New Roman"/>
          <w:sz w:val="22"/>
          <w:szCs w:val="22"/>
        </w:rPr>
        <w:t>1.3 主要工作过程</w:t>
      </w:r>
    </w:p>
    <w:p>
      <w:pPr>
        <w:spacing w:line="440" w:lineRule="exact"/>
        <w:ind w:firstLine="442" w:firstLineChars="200"/>
        <w:outlineLvl w:val="2"/>
        <w:rPr>
          <w:b/>
          <w:bCs/>
          <w:sz w:val="22"/>
          <w:szCs w:val="22"/>
        </w:rPr>
      </w:pPr>
      <w:r>
        <w:rPr>
          <w:rFonts w:hint="eastAsia"/>
          <w:b/>
          <w:bCs/>
          <w:sz w:val="22"/>
          <w:szCs w:val="22"/>
        </w:rPr>
        <w:t>1.3.1 编制组成立</w:t>
      </w:r>
    </w:p>
    <w:p>
      <w:pPr>
        <w:spacing w:line="360" w:lineRule="auto"/>
        <w:ind w:firstLine="431" w:firstLineChars="196"/>
        <w:rPr>
          <w:sz w:val="22"/>
          <w:szCs w:val="22"/>
        </w:rPr>
      </w:pPr>
      <w:r>
        <w:rPr>
          <w:rFonts w:hint="eastAsia"/>
          <w:sz w:val="22"/>
          <w:szCs w:val="22"/>
        </w:rPr>
        <w:t>2019年3月，据中国工程建设标准化协会建标协字[2018] 030号文《关于印发《2018年第二批协会标准制定、修订计划》的通知》的要求，中国建筑防水协会在北京召开了团体标准《单层防水卷材工程技术规程》（以下简称规程）编制组成立暨第一次工作会议，会议以线下方式进行。来自中冶建筑研究总院有限公司、上海市政工程设计研究总院（集团）有限公司、中国建材检验认证集团苏州有限公司等行业主管部门、生产企业、科研院所、质检机构代表20余人参与了会议。会议上各位领导与专家对本标准的立项及工作开展方向提出了意见和建议，并就单层防水卷材屋面工程技术规程的实践经验、现状、防水设计和施工常见的质量问题进行了充分讨论，对标准的编制大纲、内容分工等达成了一致意见。</w:t>
      </w:r>
    </w:p>
    <w:p>
      <w:pPr>
        <w:spacing w:line="360" w:lineRule="auto"/>
        <w:ind w:firstLine="431" w:firstLineChars="196"/>
        <w:rPr>
          <w:sz w:val="22"/>
          <w:szCs w:val="22"/>
        </w:rPr>
      </w:pPr>
      <w:r>
        <w:rPr>
          <w:rFonts w:hint="eastAsia"/>
          <w:sz w:val="22"/>
          <w:szCs w:val="22"/>
        </w:rPr>
        <w:t>2019年8月，工业和信息化部办公厅发布《关于印发&lt;2019年第二批行业标准制修订项目计划&gt;的通知》（工信厅科函[2019]195号），《单层防水卷材工程技术规程》制订计划获得批准，计划号：2019-0767T-JC。2019年10月，规程团体标准编制组部分成员召开内部讨论会，共计10人参加，对行业标准制订计划获批后的工作安排。由于全文强制国家标准《建筑与市政防水工程通用技术规范》正处于制订的关键阶段，其中防水设计工作年限、防水材料厚度、防水层选用、设防要求等内容的规定，对本标准内条文的起草起到决定性影响，因此会议讨论后决定暂时开展对国内单层卷材屋面防水工程应用情况的资料搜集及整理。在此期间，通过实地调研、走访及资料审核等方式，整理了百余项采用单层防水卷材作为防水层使用的屋面工程，并整理汇总数据，待与全文强条的条文比对。</w:t>
      </w:r>
    </w:p>
    <w:p>
      <w:pPr>
        <w:spacing w:line="360" w:lineRule="auto"/>
        <w:ind w:firstLine="431" w:firstLineChars="196"/>
        <w:rPr>
          <w:sz w:val="22"/>
          <w:szCs w:val="22"/>
        </w:rPr>
      </w:pPr>
      <w:r>
        <w:rPr>
          <w:rFonts w:hint="eastAsia"/>
          <w:sz w:val="22"/>
          <w:szCs w:val="22"/>
        </w:rPr>
        <w:t>2021年9月，根据中国建筑材料联合会《关于转发工信部2019年第二批行业标准制修订项目计划的通知》（中建联标发[2019]113号）的要求，中国建筑防水协会召开了行业标准《单层防水卷材工程技术规程》编制组成立暨第一次工作会议。会议以线上腾讯会议的方式召开，来自行业主管部门、生产企业、科研院所、质检机构等单位的代表近20人参加了会议，会议中就该行业标准的编制方向、现有工作基础以及需与全文强条协调的一些问题进行了充分讨论，并对编制工作做出了初步分工及安排。</w:t>
      </w:r>
    </w:p>
    <w:p>
      <w:pPr>
        <w:spacing w:line="460" w:lineRule="exact"/>
        <w:ind w:right="40" w:rightChars="19"/>
        <w:jc w:val="center"/>
        <w:rPr>
          <w:b/>
          <w:bCs/>
          <w:sz w:val="22"/>
          <w:szCs w:val="22"/>
        </w:rPr>
      </w:pPr>
      <w:r>
        <w:rPr>
          <w:rFonts w:hint="eastAsia"/>
          <w:b/>
          <w:bCs/>
          <w:sz w:val="22"/>
          <w:szCs w:val="22"/>
        </w:rPr>
        <w:t>标准工作组成员及工作分工</w:t>
      </w:r>
    </w:p>
    <w:tbl>
      <w:tblPr>
        <w:tblStyle w:val="24"/>
        <w:tblW w:w="88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927"/>
        <w:gridCol w:w="3841"/>
        <w:gridCol w:w="3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38" w:type="dxa"/>
            <w:tcBorders>
              <w:top w:val="single" w:color="auto" w:sz="12" w:space="0"/>
              <w:left w:val="single" w:color="auto" w:sz="12" w:space="0"/>
            </w:tcBorders>
            <w:vAlign w:val="center"/>
          </w:tcPr>
          <w:p>
            <w:pPr>
              <w:spacing w:line="460" w:lineRule="exact"/>
              <w:ind w:right="40" w:rightChars="19"/>
              <w:jc w:val="center"/>
              <w:rPr>
                <w:b/>
                <w:szCs w:val="21"/>
              </w:rPr>
            </w:pPr>
            <w:r>
              <w:rPr>
                <w:rFonts w:hint="eastAsia"/>
                <w:b/>
                <w:szCs w:val="21"/>
              </w:rPr>
              <w:t>序号</w:t>
            </w:r>
          </w:p>
        </w:tc>
        <w:tc>
          <w:tcPr>
            <w:tcW w:w="927" w:type="dxa"/>
            <w:tcBorders>
              <w:top w:val="single" w:color="auto" w:sz="12" w:space="0"/>
            </w:tcBorders>
            <w:vAlign w:val="center"/>
          </w:tcPr>
          <w:p>
            <w:pPr>
              <w:spacing w:line="460" w:lineRule="exact"/>
              <w:ind w:right="40" w:rightChars="19"/>
              <w:jc w:val="center"/>
              <w:rPr>
                <w:b/>
                <w:szCs w:val="21"/>
              </w:rPr>
            </w:pPr>
            <w:r>
              <w:rPr>
                <w:rFonts w:hint="eastAsia"/>
                <w:b/>
                <w:szCs w:val="21"/>
              </w:rPr>
              <w:t>姓名</w:t>
            </w:r>
          </w:p>
        </w:tc>
        <w:tc>
          <w:tcPr>
            <w:tcW w:w="3841" w:type="dxa"/>
            <w:tcBorders>
              <w:top w:val="single" w:color="auto" w:sz="12" w:space="0"/>
            </w:tcBorders>
            <w:vAlign w:val="center"/>
          </w:tcPr>
          <w:p>
            <w:pPr>
              <w:spacing w:line="460" w:lineRule="exact"/>
              <w:ind w:right="40" w:rightChars="19"/>
              <w:jc w:val="center"/>
              <w:rPr>
                <w:b/>
                <w:szCs w:val="21"/>
              </w:rPr>
            </w:pPr>
            <w:r>
              <w:rPr>
                <w:rFonts w:hint="eastAsia"/>
                <w:b/>
                <w:szCs w:val="21"/>
              </w:rPr>
              <w:t>工作单位</w:t>
            </w:r>
          </w:p>
        </w:tc>
        <w:tc>
          <w:tcPr>
            <w:tcW w:w="3307" w:type="dxa"/>
            <w:tcBorders>
              <w:top w:val="single" w:color="auto" w:sz="12" w:space="0"/>
              <w:right w:val="single" w:color="auto" w:sz="12" w:space="0"/>
            </w:tcBorders>
            <w:vAlign w:val="center"/>
          </w:tcPr>
          <w:p>
            <w:pPr>
              <w:spacing w:line="460" w:lineRule="exact"/>
              <w:ind w:right="40" w:rightChars="19"/>
              <w:jc w:val="center"/>
              <w:rPr>
                <w:b/>
                <w:szCs w:val="21"/>
              </w:rPr>
            </w:pPr>
            <w:r>
              <w:rPr>
                <w:rFonts w:hint="eastAsia"/>
                <w:b/>
                <w:szCs w:val="21"/>
              </w:rPr>
              <w:t>负责章节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38" w:type="dxa"/>
            <w:tcBorders>
              <w:left w:val="single" w:color="auto" w:sz="12" w:space="0"/>
            </w:tcBorders>
            <w:vAlign w:val="center"/>
          </w:tcPr>
          <w:p>
            <w:pPr>
              <w:spacing w:line="460" w:lineRule="exact"/>
              <w:ind w:right="40" w:rightChars="19"/>
              <w:jc w:val="center"/>
              <w:rPr>
                <w:szCs w:val="21"/>
              </w:rPr>
            </w:pPr>
            <w:r>
              <w:rPr>
                <w:rFonts w:hint="eastAsia"/>
                <w:szCs w:val="21"/>
              </w:rPr>
              <w:t>1</w:t>
            </w:r>
          </w:p>
        </w:tc>
        <w:tc>
          <w:tcPr>
            <w:tcW w:w="927" w:type="dxa"/>
            <w:vAlign w:val="center"/>
          </w:tcPr>
          <w:p>
            <w:pPr>
              <w:spacing w:line="460" w:lineRule="exact"/>
              <w:ind w:right="40" w:rightChars="19"/>
              <w:jc w:val="center"/>
              <w:rPr>
                <w:szCs w:val="21"/>
              </w:rPr>
            </w:pPr>
            <w:r>
              <w:rPr>
                <w:rFonts w:hint="eastAsia"/>
                <w:szCs w:val="21"/>
              </w:rPr>
              <w:t>蔡昭昀</w:t>
            </w:r>
          </w:p>
        </w:tc>
        <w:tc>
          <w:tcPr>
            <w:tcW w:w="3841" w:type="dxa"/>
            <w:vAlign w:val="center"/>
          </w:tcPr>
          <w:p>
            <w:pPr>
              <w:spacing w:line="460" w:lineRule="exact"/>
              <w:ind w:right="40" w:rightChars="19"/>
              <w:jc w:val="center"/>
              <w:rPr>
                <w:szCs w:val="21"/>
              </w:rPr>
            </w:pPr>
            <w:r>
              <w:rPr>
                <w:rFonts w:hint="eastAsia"/>
                <w:sz w:val="22"/>
                <w:szCs w:val="22"/>
              </w:rPr>
              <w:t>中冶建筑研究总院有限公司</w:t>
            </w:r>
          </w:p>
        </w:tc>
        <w:tc>
          <w:tcPr>
            <w:tcW w:w="3307" w:type="dxa"/>
            <w:tcBorders>
              <w:right w:val="single" w:color="auto" w:sz="12" w:space="0"/>
            </w:tcBorders>
            <w:vAlign w:val="center"/>
          </w:tcPr>
          <w:p>
            <w:pPr>
              <w:spacing w:line="460" w:lineRule="exact"/>
              <w:ind w:right="40" w:rightChars="19"/>
              <w:jc w:val="center"/>
              <w:rPr>
                <w:szCs w:val="21"/>
              </w:rPr>
            </w:pPr>
            <w:r>
              <w:rPr>
                <w:rFonts w:hint="eastAsia"/>
                <w:szCs w:val="21"/>
              </w:rPr>
              <w:t>总则及标准的统筹分工、协调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38" w:type="dxa"/>
            <w:tcBorders>
              <w:left w:val="single" w:color="auto" w:sz="12" w:space="0"/>
            </w:tcBorders>
            <w:vAlign w:val="center"/>
          </w:tcPr>
          <w:p>
            <w:pPr>
              <w:spacing w:line="460" w:lineRule="exact"/>
              <w:ind w:right="40" w:rightChars="19"/>
              <w:jc w:val="center"/>
              <w:rPr>
                <w:szCs w:val="21"/>
              </w:rPr>
            </w:pPr>
            <w:r>
              <w:rPr>
                <w:rFonts w:hint="eastAsia"/>
                <w:szCs w:val="21"/>
              </w:rPr>
              <w:t>2</w:t>
            </w:r>
          </w:p>
        </w:tc>
        <w:tc>
          <w:tcPr>
            <w:tcW w:w="927" w:type="dxa"/>
            <w:vAlign w:val="center"/>
          </w:tcPr>
          <w:p>
            <w:pPr>
              <w:spacing w:line="460" w:lineRule="exact"/>
              <w:ind w:right="40" w:rightChars="19"/>
              <w:jc w:val="center"/>
              <w:rPr>
                <w:szCs w:val="21"/>
              </w:rPr>
            </w:pPr>
            <w:r>
              <w:rPr>
                <w:rFonts w:hint="eastAsia"/>
                <w:szCs w:val="21"/>
              </w:rPr>
              <w:t>张 勇</w:t>
            </w:r>
          </w:p>
        </w:tc>
        <w:tc>
          <w:tcPr>
            <w:tcW w:w="3841" w:type="dxa"/>
            <w:vAlign w:val="center"/>
          </w:tcPr>
          <w:p>
            <w:pPr>
              <w:spacing w:line="460" w:lineRule="exact"/>
              <w:ind w:right="40" w:rightChars="19"/>
              <w:jc w:val="center"/>
              <w:rPr>
                <w:szCs w:val="21"/>
              </w:rPr>
            </w:pPr>
            <w:r>
              <w:rPr>
                <w:rFonts w:hint="eastAsia"/>
                <w:szCs w:val="21"/>
              </w:rPr>
              <w:t>中国建筑防水协会</w:t>
            </w:r>
          </w:p>
        </w:tc>
        <w:tc>
          <w:tcPr>
            <w:tcW w:w="3307" w:type="dxa"/>
            <w:tcBorders>
              <w:right w:val="single" w:color="auto" w:sz="12" w:space="0"/>
            </w:tcBorders>
            <w:vAlign w:val="center"/>
          </w:tcPr>
          <w:p>
            <w:pPr>
              <w:spacing w:line="460" w:lineRule="exact"/>
              <w:ind w:right="40" w:rightChars="19"/>
              <w:jc w:val="center"/>
              <w:rPr>
                <w:szCs w:val="21"/>
              </w:rPr>
            </w:pPr>
            <w:r>
              <w:rPr>
                <w:rFonts w:hint="eastAsia"/>
                <w:szCs w:val="21"/>
              </w:rPr>
              <w:t>术语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38" w:type="dxa"/>
            <w:tcBorders>
              <w:left w:val="single" w:color="auto" w:sz="12" w:space="0"/>
            </w:tcBorders>
            <w:vAlign w:val="center"/>
          </w:tcPr>
          <w:p>
            <w:pPr>
              <w:spacing w:line="460" w:lineRule="exact"/>
              <w:ind w:right="40" w:rightChars="19"/>
              <w:jc w:val="center"/>
              <w:rPr>
                <w:szCs w:val="21"/>
              </w:rPr>
            </w:pPr>
            <w:r>
              <w:rPr>
                <w:rFonts w:hint="eastAsia"/>
                <w:szCs w:val="21"/>
              </w:rPr>
              <w:t>3</w:t>
            </w:r>
          </w:p>
        </w:tc>
        <w:tc>
          <w:tcPr>
            <w:tcW w:w="927" w:type="dxa"/>
            <w:vAlign w:val="center"/>
          </w:tcPr>
          <w:p>
            <w:pPr>
              <w:spacing w:line="460" w:lineRule="exact"/>
              <w:ind w:right="40" w:rightChars="19"/>
              <w:jc w:val="center"/>
              <w:rPr>
                <w:szCs w:val="21"/>
              </w:rPr>
            </w:pPr>
            <w:r>
              <w:rPr>
                <w:rFonts w:hint="eastAsia"/>
                <w:szCs w:val="21"/>
              </w:rPr>
              <w:t>朱志远</w:t>
            </w:r>
          </w:p>
        </w:tc>
        <w:tc>
          <w:tcPr>
            <w:tcW w:w="3841" w:type="dxa"/>
            <w:vAlign w:val="center"/>
          </w:tcPr>
          <w:p>
            <w:pPr>
              <w:spacing w:line="460" w:lineRule="exact"/>
              <w:ind w:right="40" w:rightChars="19"/>
              <w:jc w:val="center"/>
              <w:rPr>
                <w:szCs w:val="21"/>
              </w:rPr>
            </w:pPr>
            <w:r>
              <w:rPr>
                <w:rFonts w:hint="eastAsia"/>
                <w:szCs w:val="21"/>
              </w:rPr>
              <w:t>中国建材检验认证集团苏州有限公司</w:t>
            </w:r>
          </w:p>
        </w:tc>
        <w:tc>
          <w:tcPr>
            <w:tcW w:w="3307" w:type="dxa"/>
            <w:tcBorders>
              <w:right w:val="single" w:color="auto" w:sz="12" w:space="0"/>
            </w:tcBorders>
            <w:vAlign w:val="center"/>
          </w:tcPr>
          <w:p>
            <w:pPr>
              <w:spacing w:line="460" w:lineRule="exact"/>
              <w:ind w:right="40" w:rightChars="19"/>
              <w:jc w:val="center"/>
              <w:rPr>
                <w:szCs w:val="21"/>
              </w:rPr>
            </w:pPr>
            <w:r>
              <w:rPr>
                <w:rFonts w:hint="eastAsia"/>
                <w:szCs w:val="21"/>
              </w:rPr>
              <w:t>防水层技术要求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38" w:type="dxa"/>
            <w:tcBorders>
              <w:left w:val="single" w:color="auto" w:sz="12" w:space="0"/>
            </w:tcBorders>
            <w:vAlign w:val="center"/>
          </w:tcPr>
          <w:p>
            <w:pPr>
              <w:spacing w:line="460" w:lineRule="exact"/>
              <w:ind w:right="40" w:rightChars="19"/>
              <w:jc w:val="center"/>
              <w:rPr>
                <w:szCs w:val="21"/>
              </w:rPr>
            </w:pPr>
            <w:r>
              <w:rPr>
                <w:rFonts w:hint="eastAsia"/>
                <w:szCs w:val="21"/>
              </w:rPr>
              <w:t>4</w:t>
            </w:r>
          </w:p>
        </w:tc>
        <w:tc>
          <w:tcPr>
            <w:tcW w:w="927" w:type="dxa"/>
            <w:vAlign w:val="center"/>
          </w:tcPr>
          <w:p>
            <w:pPr>
              <w:spacing w:line="460" w:lineRule="exact"/>
              <w:ind w:right="40" w:rightChars="19"/>
              <w:jc w:val="center"/>
              <w:rPr>
                <w:szCs w:val="21"/>
              </w:rPr>
            </w:pPr>
            <w:r>
              <w:rPr>
                <w:rFonts w:hint="eastAsia"/>
                <w:szCs w:val="21"/>
              </w:rPr>
              <w:t>葛 兆</w:t>
            </w:r>
          </w:p>
        </w:tc>
        <w:tc>
          <w:tcPr>
            <w:tcW w:w="3841" w:type="dxa"/>
            <w:vAlign w:val="center"/>
          </w:tcPr>
          <w:p>
            <w:pPr>
              <w:spacing w:line="460" w:lineRule="exact"/>
              <w:ind w:right="40" w:rightChars="19"/>
              <w:jc w:val="center"/>
              <w:rPr>
                <w:szCs w:val="21"/>
              </w:rPr>
            </w:pPr>
            <w:r>
              <w:rPr>
                <w:rFonts w:hint="eastAsia" w:ascii="宋体" w:hAnsi="宋体" w:cs="宋体"/>
                <w:szCs w:val="21"/>
              </w:rPr>
              <w:t>西卡渗耐防水系统（上海）有限公司</w:t>
            </w:r>
          </w:p>
        </w:tc>
        <w:tc>
          <w:tcPr>
            <w:tcW w:w="3307" w:type="dxa"/>
            <w:tcBorders>
              <w:right w:val="single" w:color="auto" w:sz="12" w:space="0"/>
            </w:tcBorders>
            <w:vAlign w:val="center"/>
          </w:tcPr>
          <w:p>
            <w:pPr>
              <w:spacing w:line="460" w:lineRule="exact"/>
              <w:ind w:right="40" w:rightChars="19"/>
              <w:jc w:val="center"/>
              <w:rPr>
                <w:szCs w:val="21"/>
              </w:rPr>
            </w:pPr>
            <w:r>
              <w:rPr>
                <w:rFonts w:hint="eastAsia"/>
                <w:szCs w:val="21"/>
              </w:rPr>
              <w:t>机械固定法施工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38" w:type="dxa"/>
            <w:tcBorders>
              <w:left w:val="single" w:color="auto" w:sz="12" w:space="0"/>
            </w:tcBorders>
            <w:vAlign w:val="center"/>
          </w:tcPr>
          <w:p>
            <w:pPr>
              <w:spacing w:line="460" w:lineRule="exact"/>
              <w:ind w:right="40" w:rightChars="19"/>
              <w:jc w:val="center"/>
              <w:rPr>
                <w:szCs w:val="21"/>
              </w:rPr>
            </w:pPr>
            <w:r>
              <w:rPr>
                <w:rFonts w:hint="eastAsia"/>
                <w:szCs w:val="21"/>
              </w:rPr>
              <w:t>5</w:t>
            </w:r>
          </w:p>
        </w:tc>
        <w:tc>
          <w:tcPr>
            <w:tcW w:w="927" w:type="dxa"/>
            <w:vAlign w:val="center"/>
          </w:tcPr>
          <w:p>
            <w:pPr>
              <w:spacing w:line="460" w:lineRule="exact"/>
              <w:ind w:right="40" w:rightChars="19"/>
              <w:jc w:val="center"/>
              <w:rPr>
                <w:szCs w:val="21"/>
              </w:rPr>
            </w:pPr>
            <w:r>
              <w:rPr>
                <w:rFonts w:hint="eastAsia"/>
                <w:szCs w:val="21"/>
              </w:rPr>
              <w:t>李建军</w:t>
            </w:r>
          </w:p>
        </w:tc>
        <w:tc>
          <w:tcPr>
            <w:tcW w:w="3841" w:type="dxa"/>
            <w:vAlign w:val="center"/>
          </w:tcPr>
          <w:p>
            <w:pPr>
              <w:spacing w:line="460" w:lineRule="exact"/>
              <w:ind w:right="40" w:rightChars="19"/>
              <w:jc w:val="center"/>
              <w:rPr>
                <w:szCs w:val="21"/>
              </w:rPr>
            </w:pPr>
            <w:r>
              <w:rPr>
                <w:rFonts w:hint="eastAsia"/>
                <w:szCs w:val="21"/>
              </w:rPr>
              <w:t>北京东方雨虹防水技术股份有限公司</w:t>
            </w:r>
          </w:p>
        </w:tc>
        <w:tc>
          <w:tcPr>
            <w:tcW w:w="3307" w:type="dxa"/>
            <w:tcBorders>
              <w:right w:val="single" w:color="auto" w:sz="12" w:space="0"/>
            </w:tcBorders>
            <w:vAlign w:val="center"/>
          </w:tcPr>
          <w:p>
            <w:pPr>
              <w:spacing w:line="460" w:lineRule="exact"/>
              <w:ind w:right="40" w:rightChars="19"/>
              <w:jc w:val="center"/>
              <w:rPr>
                <w:szCs w:val="21"/>
              </w:rPr>
            </w:pPr>
            <w:r>
              <w:rPr>
                <w:rFonts w:hint="eastAsia"/>
                <w:szCs w:val="21"/>
              </w:rPr>
              <w:t>粘接法施工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38" w:type="dxa"/>
            <w:tcBorders>
              <w:left w:val="single" w:color="auto" w:sz="12" w:space="0"/>
            </w:tcBorders>
            <w:vAlign w:val="center"/>
          </w:tcPr>
          <w:p>
            <w:pPr>
              <w:spacing w:line="460" w:lineRule="exact"/>
              <w:ind w:right="40" w:rightChars="19"/>
              <w:jc w:val="center"/>
              <w:rPr>
                <w:szCs w:val="21"/>
              </w:rPr>
            </w:pPr>
            <w:r>
              <w:rPr>
                <w:rFonts w:hint="eastAsia"/>
                <w:szCs w:val="21"/>
              </w:rPr>
              <w:t>6</w:t>
            </w:r>
          </w:p>
        </w:tc>
        <w:tc>
          <w:tcPr>
            <w:tcW w:w="927" w:type="dxa"/>
            <w:vAlign w:val="center"/>
          </w:tcPr>
          <w:p>
            <w:pPr>
              <w:spacing w:line="460" w:lineRule="exact"/>
              <w:ind w:right="40" w:rightChars="19"/>
              <w:jc w:val="center"/>
              <w:rPr>
                <w:szCs w:val="21"/>
              </w:rPr>
            </w:pPr>
            <w:r>
              <w:rPr>
                <w:rFonts w:hint="eastAsia"/>
                <w:szCs w:val="21"/>
              </w:rPr>
              <w:t>董 剑</w:t>
            </w:r>
          </w:p>
        </w:tc>
        <w:tc>
          <w:tcPr>
            <w:tcW w:w="3841" w:type="dxa"/>
            <w:vAlign w:val="center"/>
          </w:tcPr>
          <w:p>
            <w:pPr>
              <w:spacing w:line="460" w:lineRule="exact"/>
              <w:ind w:right="40" w:rightChars="19"/>
              <w:jc w:val="center"/>
              <w:rPr>
                <w:szCs w:val="21"/>
              </w:rPr>
            </w:pPr>
            <w:r>
              <w:rPr>
                <w:rFonts w:hint="eastAsia" w:ascii="宋体" w:hAnsi="宋体" w:cs="宋体"/>
                <w:szCs w:val="21"/>
              </w:rPr>
              <w:t>上海三棵树防水技术有限公司</w:t>
            </w:r>
          </w:p>
        </w:tc>
        <w:tc>
          <w:tcPr>
            <w:tcW w:w="3307" w:type="dxa"/>
            <w:tcBorders>
              <w:right w:val="single" w:color="auto" w:sz="12" w:space="0"/>
            </w:tcBorders>
            <w:vAlign w:val="center"/>
          </w:tcPr>
          <w:p>
            <w:pPr>
              <w:spacing w:line="460" w:lineRule="exact"/>
              <w:ind w:right="40" w:rightChars="19"/>
              <w:jc w:val="center"/>
              <w:rPr>
                <w:szCs w:val="21"/>
              </w:rPr>
            </w:pPr>
            <w:r>
              <w:rPr>
                <w:rFonts w:hint="eastAsia"/>
                <w:szCs w:val="21"/>
              </w:rPr>
              <w:t>压铺法施工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38" w:type="dxa"/>
            <w:tcBorders>
              <w:left w:val="single" w:color="auto" w:sz="12" w:space="0"/>
            </w:tcBorders>
            <w:vAlign w:val="center"/>
          </w:tcPr>
          <w:p>
            <w:pPr>
              <w:spacing w:line="460" w:lineRule="exact"/>
              <w:ind w:right="40" w:rightChars="19"/>
              <w:jc w:val="center"/>
              <w:rPr>
                <w:szCs w:val="21"/>
              </w:rPr>
            </w:pPr>
            <w:r>
              <w:rPr>
                <w:rFonts w:hint="eastAsia"/>
                <w:szCs w:val="21"/>
              </w:rPr>
              <w:t>7</w:t>
            </w:r>
          </w:p>
        </w:tc>
        <w:tc>
          <w:tcPr>
            <w:tcW w:w="927" w:type="dxa"/>
            <w:vAlign w:val="center"/>
          </w:tcPr>
          <w:p>
            <w:pPr>
              <w:spacing w:line="460" w:lineRule="exact"/>
              <w:ind w:right="40" w:rightChars="19"/>
              <w:jc w:val="center"/>
              <w:rPr>
                <w:szCs w:val="21"/>
              </w:rPr>
            </w:pPr>
            <w:r>
              <w:rPr>
                <w:rFonts w:hint="eastAsia"/>
                <w:szCs w:val="21"/>
              </w:rPr>
              <w:t>陈玉山</w:t>
            </w:r>
          </w:p>
        </w:tc>
        <w:tc>
          <w:tcPr>
            <w:tcW w:w="3841" w:type="dxa"/>
            <w:vAlign w:val="center"/>
          </w:tcPr>
          <w:p>
            <w:pPr>
              <w:spacing w:line="460" w:lineRule="exact"/>
              <w:ind w:right="40" w:rightChars="19"/>
              <w:jc w:val="center"/>
              <w:rPr>
                <w:szCs w:val="21"/>
              </w:rPr>
            </w:pPr>
            <w:r>
              <w:rPr>
                <w:rFonts w:hint="eastAsia" w:ascii="宋体" w:hAnsi="宋体" w:cs="宋体"/>
                <w:szCs w:val="21"/>
              </w:rPr>
              <w:t>山东思达建筑系统工程有限公司</w:t>
            </w:r>
          </w:p>
        </w:tc>
        <w:tc>
          <w:tcPr>
            <w:tcW w:w="3307" w:type="dxa"/>
            <w:tcBorders>
              <w:right w:val="single" w:color="auto" w:sz="12" w:space="0"/>
            </w:tcBorders>
            <w:vAlign w:val="center"/>
          </w:tcPr>
          <w:p>
            <w:pPr>
              <w:spacing w:line="460" w:lineRule="exact"/>
              <w:ind w:right="40" w:rightChars="19"/>
              <w:jc w:val="center"/>
              <w:rPr>
                <w:szCs w:val="21"/>
              </w:rPr>
            </w:pPr>
            <w:r>
              <w:rPr>
                <w:rFonts w:hint="eastAsia"/>
                <w:szCs w:val="21"/>
              </w:rPr>
              <w:t>防水层细部构造/机械固定法施工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38" w:type="dxa"/>
            <w:tcBorders>
              <w:left w:val="single" w:color="auto" w:sz="12" w:space="0"/>
            </w:tcBorders>
            <w:vAlign w:val="center"/>
          </w:tcPr>
          <w:p>
            <w:pPr>
              <w:spacing w:line="460" w:lineRule="exact"/>
              <w:ind w:right="40" w:rightChars="19"/>
              <w:jc w:val="center"/>
              <w:rPr>
                <w:szCs w:val="21"/>
              </w:rPr>
            </w:pPr>
            <w:r>
              <w:rPr>
                <w:rFonts w:hint="eastAsia"/>
                <w:szCs w:val="21"/>
              </w:rPr>
              <w:t>8</w:t>
            </w:r>
          </w:p>
        </w:tc>
        <w:tc>
          <w:tcPr>
            <w:tcW w:w="927" w:type="dxa"/>
            <w:vAlign w:val="center"/>
          </w:tcPr>
          <w:p>
            <w:pPr>
              <w:spacing w:line="460" w:lineRule="exact"/>
              <w:ind w:right="40" w:rightChars="19"/>
              <w:jc w:val="center"/>
              <w:rPr>
                <w:szCs w:val="21"/>
              </w:rPr>
            </w:pPr>
            <w:r>
              <w:rPr>
                <w:rFonts w:hint="eastAsia"/>
                <w:szCs w:val="21"/>
              </w:rPr>
              <w:t>尚华胜</w:t>
            </w:r>
          </w:p>
        </w:tc>
        <w:tc>
          <w:tcPr>
            <w:tcW w:w="3841" w:type="dxa"/>
            <w:vAlign w:val="center"/>
          </w:tcPr>
          <w:p>
            <w:pPr>
              <w:spacing w:line="460" w:lineRule="exact"/>
              <w:ind w:right="40" w:rightChars="19"/>
              <w:jc w:val="center"/>
              <w:rPr>
                <w:szCs w:val="21"/>
              </w:rPr>
            </w:pPr>
            <w:r>
              <w:rPr>
                <w:rFonts w:hint="eastAsia"/>
                <w:szCs w:val="21"/>
              </w:rPr>
              <w:t>北新防水有限公司</w:t>
            </w:r>
          </w:p>
        </w:tc>
        <w:tc>
          <w:tcPr>
            <w:tcW w:w="3307" w:type="dxa"/>
            <w:tcBorders>
              <w:right w:val="single" w:color="auto" w:sz="12" w:space="0"/>
            </w:tcBorders>
            <w:vAlign w:val="center"/>
          </w:tcPr>
          <w:p>
            <w:pPr>
              <w:spacing w:line="460" w:lineRule="exact"/>
              <w:ind w:right="40" w:rightChars="19"/>
              <w:jc w:val="center"/>
              <w:rPr>
                <w:szCs w:val="21"/>
              </w:rPr>
            </w:pPr>
            <w:r>
              <w:rPr>
                <w:rFonts w:hint="eastAsia"/>
                <w:szCs w:val="21"/>
              </w:rPr>
              <w:t>验收与维护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38" w:type="dxa"/>
            <w:tcBorders>
              <w:left w:val="single" w:color="auto" w:sz="12" w:space="0"/>
              <w:bottom w:val="single" w:color="auto" w:sz="12" w:space="0"/>
            </w:tcBorders>
            <w:vAlign w:val="center"/>
          </w:tcPr>
          <w:p>
            <w:pPr>
              <w:spacing w:line="460" w:lineRule="exact"/>
              <w:ind w:right="40" w:rightChars="19"/>
              <w:jc w:val="center"/>
              <w:rPr>
                <w:szCs w:val="21"/>
              </w:rPr>
            </w:pPr>
            <w:r>
              <w:rPr>
                <w:rFonts w:hint="eastAsia"/>
                <w:szCs w:val="21"/>
              </w:rPr>
              <w:t>9</w:t>
            </w:r>
          </w:p>
        </w:tc>
        <w:tc>
          <w:tcPr>
            <w:tcW w:w="927" w:type="dxa"/>
            <w:tcBorders>
              <w:bottom w:val="single" w:color="auto" w:sz="12" w:space="0"/>
            </w:tcBorders>
            <w:vAlign w:val="center"/>
          </w:tcPr>
          <w:p>
            <w:pPr>
              <w:spacing w:line="460" w:lineRule="exact"/>
              <w:ind w:right="40" w:rightChars="19"/>
              <w:jc w:val="center"/>
              <w:rPr>
                <w:szCs w:val="21"/>
              </w:rPr>
            </w:pPr>
            <w:r>
              <w:rPr>
                <w:rFonts w:hint="eastAsia"/>
                <w:szCs w:val="21"/>
              </w:rPr>
              <w:t>程晓辉</w:t>
            </w:r>
          </w:p>
        </w:tc>
        <w:tc>
          <w:tcPr>
            <w:tcW w:w="3841" w:type="dxa"/>
            <w:tcBorders>
              <w:bottom w:val="single" w:color="auto" w:sz="12" w:space="0"/>
            </w:tcBorders>
            <w:vAlign w:val="center"/>
          </w:tcPr>
          <w:p>
            <w:pPr>
              <w:spacing w:line="460" w:lineRule="exact"/>
              <w:ind w:right="40" w:rightChars="19"/>
              <w:jc w:val="center"/>
              <w:rPr>
                <w:szCs w:val="21"/>
              </w:rPr>
            </w:pPr>
            <w:r>
              <w:rPr>
                <w:rFonts w:hint="eastAsia"/>
                <w:szCs w:val="21"/>
              </w:rPr>
              <w:t>中国建筑防水协会</w:t>
            </w:r>
          </w:p>
        </w:tc>
        <w:tc>
          <w:tcPr>
            <w:tcW w:w="3307" w:type="dxa"/>
            <w:tcBorders>
              <w:bottom w:val="single" w:color="auto" w:sz="12" w:space="0"/>
              <w:right w:val="single" w:color="auto" w:sz="12" w:space="0"/>
            </w:tcBorders>
            <w:vAlign w:val="center"/>
          </w:tcPr>
          <w:p>
            <w:pPr>
              <w:spacing w:line="460" w:lineRule="exact"/>
              <w:ind w:right="40" w:rightChars="19"/>
              <w:jc w:val="center"/>
              <w:rPr>
                <w:szCs w:val="21"/>
              </w:rPr>
            </w:pPr>
            <w:r>
              <w:rPr>
                <w:rFonts w:hint="eastAsia"/>
                <w:szCs w:val="21"/>
              </w:rPr>
              <w:t>统稿汇总、修改</w:t>
            </w:r>
          </w:p>
        </w:tc>
      </w:tr>
    </w:tbl>
    <w:p>
      <w:pPr>
        <w:spacing w:line="460" w:lineRule="exact"/>
        <w:ind w:right="40" w:rightChars="19"/>
        <w:rPr>
          <w:sz w:val="22"/>
          <w:szCs w:val="22"/>
        </w:rPr>
      </w:pPr>
      <w:r>
        <w:rPr>
          <w:rFonts w:hint="eastAsia"/>
          <w:szCs w:val="21"/>
        </w:rPr>
        <w:t>注：标准起草过程中，生产企业及相关配件、设备供应商对标准内的数据提供了较大的支持，尤其是在机械固定法施工中使用的焊接设备及机械固定件等。</w:t>
      </w:r>
    </w:p>
    <w:p>
      <w:pPr>
        <w:spacing w:line="440" w:lineRule="exact"/>
        <w:ind w:firstLine="442" w:firstLineChars="200"/>
        <w:outlineLvl w:val="2"/>
        <w:rPr>
          <w:b/>
          <w:bCs/>
          <w:sz w:val="22"/>
          <w:szCs w:val="22"/>
        </w:rPr>
      </w:pPr>
      <w:r>
        <w:rPr>
          <w:rFonts w:hint="eastAsia"/>
          <w:b/>
          <w:bCs/>
          <w:sz w:val="22"/>
          <w:szCs w:val="22"/>
        </w:rPr>
        <w:t>1.3.2 收集资料</w:t>
      </w:r>
    </w:p>
    <w:p>
      <w:pPr>
        <w:spacing w:line="360" w:lineRule="auto"/>
        <w:ind w:firstLine="431" w:firstLineChars="196"/>
        <w:rPr>
          <w:sz w:val="22"/>
          <w:szCs w:val="22"/>
        </w:rPr>
      </w:pPr>
      <w:r>
        <w:rPr>
          <w:rFonts w:hint="eastAsia"/>
          <w:sz w:val="22"/>
          <w:szCs w:val="22"/>
        </w:rPr>
        <w:t>2021年10月，编制起草组对相关国内标准、技术资料收集汇总，主要涉及全文强制国家标准《建筑与市政防水工程通用技术规范》（</w:t>
      </w:r>
      <w:r>
        <w:rPr>
          <w:rFonts w:hint="eastAsia"/>
          <w:sz w:val="22"/>
          <w:szCs w:val="22"/>
          <w:lang w:eastAsia="zh-CN"/>
        </w:rPr>
        <w:t>报批稿</w:t>
      </w:r>
      <w:r>
        <w:rPr>
          <w:rFonts w:hint="eastAsia"/>
          <w:sz w:val="22"/>
          <w:szCs w:val="22"/>
        </w:rPr>
        <w:t xml:space="preserve">）、《屋面工程技术规范》GB 50345、 《单层防水卷材屋面工程技术规程》JGJ/T316、《单层卷材屋面系统抗风揭试验方法》GB/T </w:t>
      </w:r>
      <w:r>
        <w:rPr>
          <w:rFonts w:hint="eastAsia"/>
          <w:sz w:val="22"/>
          <w:szCs w:val="22"/>
          <w:lang w:val="en-US" w:eastAsia="zh-CN"/>
        </w:rPr>
        <w:t>31543</w:t>
      </w:r>
      <w:r>
        <w:rPr>
          <w:rFonts w:hint="eastAsia"/>
          <w:sz w:val="22"/>
          <w:szCs w:val="22"/>
        </w:rPr>
        <w:t>等相关标准，同时对拟制订的标准相关条文各自进行梳理汇总。</w:t>
      </w:r>
    </w:p>
    <w:p>
      <w:pPr>
        <w:spacing w:line="360" w:lineRule="auto"/>
        <w:ind w:firstLine="431" w:firstLineChars="196"/>
        <w:rPr>
          <w:sz w:val="22"/>
          <w:szCs w:val="22"/>
        </w:rPr>
      </w:pPr>
      <w:r>
        <w:rPr>
          <w:rFonts w:hint="eastAsia"/>
          <w:sz w:val="22"/>
          <w:szCs w:val="22"/>
        </w:rPr>
        <w:t>2022年3月，编制组以线上腾讯会议的方式召开第二次工作会议，由主要章节起草人员参加，共计10人。会议上全员讨论确定了该标准的编制框架与结构，并将各章节具体起草人进行了最终划分，及时开展编制工作。</w:t>
      </w:r>
    </w:p>
    <w:p>
      <w:pPr>
        <w:spacing w:line="360" w:lineRule="auto"/>
        <w:ind w:firstLine="431" w:firstLineChars="196"/>
        <w:rPr>
          <w:sz w:val="22"/>
          <w:szCs w:val="22"/>
        </w:rPr>
      </w:pPr>
      <w:r>
        <w:rPr>
          <w:rFonts w:hint="eastAsia"/>
          <w:sz w:val="22"/>
          <w:szCs w:val="22"/>
        </w:rPr>
        <w:t>2022年4月，编制组以线上腾讯会议的方式召开第三次工作会议，由主要章节起草人员参加，共计10人。会议上各位专家对该标准的草案做了详细的讨论与分析，对其中章节设置不妥当的、指标不明确的、指标数据欠缺的做出明确要求，并给出二稿的汇总时间。</w:t>
      </w:r>
    </w:p>
    <w:p>
      <w:pPr>
        <w:spacing w:line="460" w:lineRule="exact"/>
        <w:ind w:right="40" w:rightChars="19"/>
        <w:jc w:val="center"/>
        <w:rPr>
          <w:b/>
          <w:bCs/>
          <w:sz w:val="22"/>
          <w:szCs w:val="22"/>
        </w:rPr>
      </w:pPr>
      <w:r>
        <w:rPr>
          <w:rFonts w:hint="eastAsia"/>
          <w:b/>
          <w:bCs/>
          <w:sz w:val="22"/>
          <w:szCs w:val="22"/>
        </w:rPr>
        <w:t>国内相关涉及的标准清单</w:t>
      </w:r>
    </w:p>
    <w:tbl>
      <w:tblPr>
        <w:tblStyle w:val="24"/>
        <w:tblW w:w="9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3300"/>
        <w:gridCol w:w="3709"/>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3" w:type="dxa"/>
            <w:tcBorders>
              <w:top w:val="single" w:color="auto" w:sz="12" w:space="0"/>
              <w:left w:val="single" w:color="auto" w:sz="12" w:space="0"/>
            </w:tcBorders>
            <w:vAlign w:val="center"/>
          </w:tcPr>
          <w:p>
            <w:pPr>
              <w:spacing w:line="460" w:lineRule="exact"/>
              <w:ind w:right="40" w:rightChars="19"/>
              <w:jc w:val="center"/>
              <w:rPr>
                <w:b/>
                <w:szCs w:val="21"/>
              </w:rPr>
            </w:pPr>
            <w:r>
              <w:rPr>
                <w:rFonts w:hint="eastAsia"/>
                <w:b/>
                <w:szCs w:val="21"/>
              </w:rPr>
              <w:t>序号</w:t>
            </w:r>
          </w:p>
        </w:tc>
        <w:tc>
          <w:tcPr>
            <w:tcW w:w="3300" w:type="dxa"/>
            <w:tcBorders>
              <w:top w:val="single" w:color="auto" w:sz="12" w:space="0"/>
            </w:tcBorders>
            <w:vAlign w:val="center"/>
          </w:tcPr>
          <w:p>
            <w:pPr>
              <w:spacing w:line="460" w:lineRule="exact"/>
              <w:ind w:right="40" w:rightChars="19"/>
              <w:jc w:val="center"/>
              <w:rPr>
                <w:b/>
                <w:szCs w:val="21"/>
              </w:rPr>
            </w:pPr>
            <w:r>
              <w:rPr>
                <w:rFonts w:hint="eastAsia"/>
                <w:b/>
                <w:szCs w:val="21"/>
              </w:rPr>
              <w:t>标准名称</w:t>
            </w:r>
          </w:p>
        </w:tc>
        <w:tc>
          <w:tcPr>
            <w:tcW w:w="3709" w:type="dxa"/>
            <w:tcBorders>
              <w:top w:val="single" w:color="auto" w:sz="12" w:space="0"/>
            </w:tcBorders>
            <w:vAlign w:val="center"/>
          </w:tcPr>
          <w:p>
            <w:pPr>
              <w:spacing w:line="460" w:lineRule="exact"/>
              <w:ind w:right="40" w:rightChars="19"/>
              <w:jc w:val="center"/>
              <w:rPr>
                <w:b/>
                <w:szCs w:val="21"/>
              </w:rPr>
            </w:pPr>
            <w:r>
              <w:rPr>
                <w:rFonts w:hint="eastAsia"/>
                <w:b/>
                <w:szCs w:val="21"/>
              </w:rPr>
              <w:t>涉及内容</w:t>
            </w:r>
          </w:p>
        </w:tc>
        <w:tc>
          <w:tcPr>
            <w:tcW w:w="1389" w:type="dxa"/>
            <w:tcBorders>
              <w:top w:val="single" w:color="auto" w:sz="12" w:space="0"/>
              <w:right w:val="single" w:color="auto" w:sz="12" w:space="0"/>
            </w:tcBorders>
            <w:vAlign w:val="center"/>
          </w:tcPr>
          <w:p>
            <w:pPr>
              <w:spacing w:line="460" w:lineRule="exact"/>
              <w:ind w:right="40" w:rightChars="19"/>
              <w:jc w:val="center"/>
              <w:rPr>
                <w:b/>
                <w:szCs w:val="21"/>
              </w:rPr>
            </w:pPr>
            <w:r>
              <w:rPr>
                <w:rFonts w:hint="eastAsia"/>
                <w:b/>
                <w:szCs w:val="21"/>
              </w:rPr>
              <w:t>标准号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3" w:type="dxa"/>
            <w:tcBorders>
              <w:left w:val="single" w:color="auto" w:sz="12" w:space="0"/>
            </w:tcBorders>
            <w:vAlign w:val="center"/>
          </w:tcPr>
          <w:p>
            <w:pPr>
              <w:spacing w:line="460" w:lineRule="exact"/>
              <w:ind w:right="40" w:rightChars="19"/>
              <w:jc w:val="center"/>
              <w:rPr>
                <w:sz w:val="20"/>
                <w:szCs w:val="20"/>
              </w:rPr>
            </w:pPr>
            <w:r>
              <w:rPr>
                <w:rFonts w:hint="eastAsia"/>
                <w:sz w:val="20"/>
                <w:szCs w:val="20"/>
              </w:rPr>
              <w:t>1</w:t>
            </w:r>
          </w:p>
        </w:tc>
        <w:tc>
          <w:tcPr>
            <w:tcW w:w="3300" w:type="dxa"/>
            <w:vAlign w:val="center"/>
          </w:tcPr>
          <w:p>
            <w:pPr>
              <w:spacing w:line="460" w:lineRule="exact"/>
              <w:ind w:right="40" w:rightChars="19"/>
              <w:jc w:val="center"/>
              <w:rPr>
                <w:sz w:val="20"/>
                <w:szCs w:val="20"/>
              </w:rPr>
            </w:pPr>
            <w:r>
              <w:rPr>
                <w:rFonts w:hint="eastAsia"/>
                <w:sz w:val="20"/>
                <w:szCs w:val="20"/>
              </w:rPr>
              <w:t>建筑与市政防水工程通用技术规范</w:t>
            </w:r>
          </w:p>
        </w:tc>
        <w:tc>
          <w:tcPr>
            <w:tcW w:w="3709" w:type="dxa"/>
            <w:vAlign w:val="center"/>
          </w:tcPr>
          <w:p>
            <w:pPr>
              <w:spacing w:line="460" w:lineRule="exact"/>
              <w:ind w:right="40" w:rightChars="19"/>
              <w:jc w:val="center"/>
              <w:rPr>
                <w:sz w:val="20"/>
                <w:szCs w:val="20"/>
              </w:rPr>
            </w:pPr>
            <w:r>
              <w:rPr>
                <w:rFonts w:hint="eastAsia"/>
                <w:sz w:val="20"/>
                <w:szCs w:val="20"/>
              </w:rPr>
              <w:t>防水层设计工作年限、防水材料耐久性、防水等级、设防等级、防水层最小厚度、防水材料燃烧性能、抗风揭性能等</w:t>
            </w:r>
          </w:p>
        </w:tc>
        <w:tc>
          <w:tcPr>
            <w:tcW w:w="1389" w:type="dxa"/>
            <w:tcBorders>
              <w:right w:val="single" w:color="auto" w:sz="12" w:space="0"/>
            </w:tcBorders>
            <w:vAlign w:val="center"/>
          </w:tcPr>
          <w:p>
            <w:pPr>
              <w:spacing w:line="460" w:lineRule="exact"/>
              <w:ind w:right="40" w:rightChars="19"/>
              <w:jc w:val="center"/>
              <w:rPr>
                <w:rFonts w:hint="eastAsia" w:eastAsia="宋体"/>
                <w:sz w:val="20"/>
                <w:szCs w:val="20"/>
                <w:lang w:eastAsia="zh-CN"/>
              </w:rPr>
            </w:pPr>
            <w:r>
              <w:rPr>
                <w:rFonts w:hint="eastAsia"/>
                <w:sz w:val="20"/>
                <w:szCs w:val="20"/>
                <w:lang w:eastAsia="zh-CN"/>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3" w:type="dxa"/>
            <w:tcBorders>
              <w:left w:val="single" w:color="auto" w:sz="12" w:space="0"/>
            </w:tcBorders>
            <w:vAlign w:val="center"/>
          </w:tcPr>
          <w:p>
            <w:pPr>
              <w:spacing w:line="460" w:lineRule="exact"/>
              <w:ind w:right="40" w:rightChars="19"/>
              <w:jc w:val="center"/>
              <w:rPr>
                <w:sz w:val="20"/>
                <w:szCs w:val="20"/>
              </w:rPr>
            </w:pPr>
            <w:r>
              <w:rPr>
                <w:rFonts w:hint="eastAsia"/>
                <w:sz w:val="20"/>
                <w:szCs w:val="20"/>
              </w:rPr>
              <w:t>2</w:t>
            </w:r>
          </w:p>
        </w:tc>
        <w:tc>
          <w:tcPr>
            <w:tcW w:w="3300" w:type="dxa"/>
            <w:vAlign w:val="center"/>
          </w:tcPr>
          <w:p>
            <w:pPr>
              <w:spacing w:line="460" w:lineRule="exact"/>
              <w:ind w:right="40" w:rightChars="19"/>
              <w:jc w:val="center"/>
              <w:rPr>
                <w:sz w:val="20"/>
                <w:szCs w:val="20"/>
              </w:rPr>
            </w:pPr>
            <w:r>
              <w:rPr>
                <w:rFonts w:hint="eastAsia"/>
                <w:sz w:val="20"/>
                <w:szCs w:val="20"/>
              </w:rPr>
              <w:t>屋面工程技术规范</w:t>
            </w:r>
          </w:p>
        </w:tc>
        <w:tc>
          <w:tcPr>
            <w:tcW w:w="3709" w:type="dxa"/>
            <w:vAlign w:val="center"/>
          </w:tcPr>
          <w:p>
            <w:pPr>
              <w:spacing w:line="460" w:lineRule="exact"/>
              <w:ind w:right="40" w:rightChars="19"/>
              <w:jc w:val="center"/>
              <w:rPr>
                <w:sz w:val="20"/>
                <w:szCs w:val="20"/>
              </w:rPr>
            </w:pPr>
            <w:r>
              <w:rPr>
                <w:rFonts w:hint="eastAsia"/>
                <w:sz w:val="20"/>
                <w:szCs w:val="20"/>
              </w:rPr>
              <w:t>基层、结构坡度设计要求</w:t>
            </w:r>
          </w:p>
        </w:tc>
        <w:tc>
          <w:tcPr>
            <w:tcW w:w="1389" w:type="dxa"/>
            <w:tcBorders>
              <w:right w:val="single" w:color="auto" w:sz="12" w:space="0"/>
            </w:tcBorders>
            <w:vAlign w:val="center"/>
          </w:tcPr>
          <w:p>
            <w:pPr>
              <w:spacing w:line="460" w:lineRule="exact"/>
              <w:ind w:right="40" w:rightChars="19"/>
              <w:jc w:val="center"/>
              <w:rPr>
                <w:sz w:val="20"/>
                <w:szCs w:val="20"/>
              </w:rPr>
            </w:pPr>
            <w:r>
              <w:rPr>
                <w:rFonts w:hint="eastAsia"/>
                <w:sz w:val="20"/>
                <w:szCs w:val="20"/>
              </w:rPr>
              <w:t>GB 50345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3" w:type="dxa"/>
            <w:tcBorders>
              <w:left w:val="single" w:color="auto" w:sz="12" w:space="0"/>
            </w:tcBorders>
            <w:vAlign w:val="center"/>
          </w:tcPr>
          <w:p>
            <w:pPr>
              <w:spacing w:line="460" w:lineRule="exact"/>
              <w:ind w:right="40" w:rightChars="19"/>
              <w:jc w:val="center"/>
              <w:rPr>
                <w:sz w:val="20"/>
                <w:szCs w:val="20"/>
              </w:rPr>
            </w:pPr>
            <w:r>
              <w:rPr>
                <w:rFonts w:hint="eastAsia"/>
                <w:sz w:val="20"/>
                <w:szCs w:val="20"/>
              </w:rPr>
              <w:t>3</w:t>
            </w:r>
          </w:p>
        </w:tc>
        <w:tc>
          <w:tcPr>
            <w:tcW w:w="3300" w:type="dxa"/>
            <w:vAlign w:val="center"/>
          </w:tcPr>
          <w:p>
            <w:pPr>
              <w:spacing w:line="460" w:lineRule="exact"/>
              <w:ind w:right="40" w:rightChars="19"/>
              <w:jc w:val="center"/>
              <w:rPr>
                <w:sz w:val="20"/>
                <w:szCs w:val="20"/>
              </w:rPr>
            </w:pPr>
            <w:r>
              <w:rPr>
                <w:rFonts w:hint="eastAsia"/>
                <w:sz w:val="20"/>
                <w:szCs w:val="20"/>
              </w:rPr>
              <w:t>单层防水卷材屋面工程技术规程</w:t>
            </w:r>
          </w:p>
        </w:tc>
        <w:tc>
          <w:tcPr>
            <w:tcW w:w="3709" w:type="dxa"/>
            <w:vAlign w:val="center"/>
          </w:tcPr>
          <w:p>
            <w:pPr>
              <w:spacing w:line="460" w:lineRule="exact"/>
              <w:ind w:right="40" w:rightChars="19"/>
              <w:jc w:val="center"/>
              <w:rPr>
                <w:sz w:val="20"/>
                <w:szCs w:val="20"/>
              </w:rPr>
            </w:pPr>
            <w:r>
              <w:rPr>
                <w:rFonts w:hint="eastAsia"/>
                <w:szCs w:val="21"/>
              </w:rPr>
              <w:t>抗风揭设计要求、保温层/隔离层/覆盖材料施工、防水层施工技术要求</w:t>
            </w:r>
          </w:p>
        </w:tc>
        <w:tc>
          <w:tcPr>
            <w:tcW w:w="1389" w:type="dxa"/>
            <w:tcBorders>
              <w:right w:val="single" w:color="auto" w:sz="12" w:space="0"/>
            </w:tcBorders>
            <w:vAlign w:val="center"/>
          </w:tcPr>
          <w:p>
            <w:pPr>
              <w:spacing w:line="460" w:lineRule="exact"/>
              <w:ind w:right="40" w:rightChars="19"/>
              <w:jc w:val="center"/>
              <w:rPr>
                <w:sz w:val="20"/>
                <w:szCs w:val="20"/>
              </w:rPr>
            </w:pPr>
            <w:r>
              <w:rPr>
                <w:rFonts w:hint="eastAsia"/>
                <w:sz w:val="20"/>
                <w:szCs w:val="20"/>
              </w:rPr>
              <w:t>JGJ/T 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3" w:type="dxa"/>
            <w:tcBorders>
              <w:left w:val="single" w:color="auto" w:sz="12" w:space="0"/>
            </w:tcBorders>
            <w:vAlign w:val="center"/>
          </w:tcPr>
          <w:p>
            <w:pPr>
              <w:spacing w:line="460" w:lineRule="exact"/>
              <w:ind w:right="40" w:rightChars="19"/>
              <w:jc w:val="center"/>
              <w:rPr>
                <w:sz w:val="20"/>
                <w:szCs w:val="20"/>
              </w:rPr>
            </w:pPr>
            <w:r>
              <w:rPr>
                <w:rFonts w:hint="eastAsia"/>
                <w:sz w:val="20"/>
                <w:szCs w:val="20"/>
              </w:rPr>
              <w:t>4</w:t>
            </w:r>
          </w:p>
        </w:tc>
        <w:tc>
          <w:tcPr>
            <w:tcW w:w="3300" w:type="dxa"/>
            <w:vAlign w:val="center"/>
          </w:tcPr>
          <w:p>
            <w:pPr>
              <w:spacing w:line="460" w:lineRule="exact"/>
              <w:ind w:right="40" w:rightChars="19"/>
              <w:jc w:val="center"/>
              <w:rPr>
                <w:sz w:val="20"/>
                <w:szCs w:val="20"/>
              </w:rPr>
            </w:pPr>
            <w:r>
              <w:rPr>
                <w:rFonts w:hint="eastAsia"/>
                <w:sz w:val="20"/>
                <w:szCs w:val="20"/>
              </w:rPr>
              <w:t>单层卷材屋面系统抗风揭试验方法</w:t>
            </w:r>
          </w:p>
        </w:tc>
        <w:tc>
          <w:tcPr>
            <w:tcW w:w="3709" w:type="dxa"/>
            <w:vAlign w:val="center"/>
          </w:tcPr>
          <w:p>
            <w:pPr>
              <w:spacing w:line="460" w:lineRule="exact"/>
              <w:ind w:right="40" w:rightChars="19"/>
              <w:jc w:val="center"/>
              <w:rPr>
                <w:sz w:val="20"/>
                <w:szCs w:val="20"/>
              </w:rPr>
            </w:pPr>
            <w:r>
              <w:rPr>
                <w:rFonts w:hint="eastAsia"/>
                <w:sz w:val="20"/>
                <w:szCs w:val="20"/>
              </w:rPr>
              <w:t>抗风揭试验方法</w:t>
            </w:r>
          </w:p>
        </w:tc>
        <w:tc>
          <w:tcPr>
            <w:tcW w:w="1389" w:type="dxa"/>
            <w:tcBorders>
              <w:right w:val="single" w:color="auto" w:sz="12" w:space="0"/>
            </w:tcBorders>
            <w:vAlign w:val="center"/>
          </w:tcPr>
          <w:p>
            <w:pPr>
              <w:spacing w:line="460" w:lineRule="exact"/>
              <w:ind w:right="40" w:rightChars="19"/>
              <w:jc w:val="center"/>
              <w:rPr>
                <w:sz w:val="20"/>
                <w:szCs w:val="20"/>
              </w:rPr>
            </w:pPr>
            <w:r>
              <w:rPr>
                <w:rFonts w:hint="eastAsia"/>
                <w:sz w:val="20"/>
                <w:szCs w:val="20"/>
              </w:rPr>
              <w:t>GB/T 31543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3" w:type="dxa"/>
            <w:tcBorders>
              <w:left w:val="single" w:color="auto" w:sz="12" w:space="0"/>
            </w:tcBorders>
            <w:vAlign w:val="center"/>
          </w:tcPr>
          <w:p>
            <w:pPr>
              <w:spacing w:line="460" w:lineRule="exact"/>
              <w:ind w:right="40" w:rightChars="19"/>
              <w:jc w:val="center"/>
              <w:rPr>
                <w:sz w:val="20"/>
                <w:szCs w:val="20"/>
              </w:rPr>
            </w:pPr>
            <w:r>
              <w:rPr>
                <w:rFonts w:hint="eastAsia"/>
                <w:sz w:val="20"/>
                <w:szCs w:val="20"/>
              </w:rPr>
              <w:t>5</w:t>
            </w:r>
          </w:p>
        </w:tc>
        <w:tc>
          <w:tcPr>
            <w:tcW w:w="3300" w:type="dxa"/>
            <w:vAlign w:val="center"/>
          </w:tcPr>
          <w:p>
            <w:pPr>
              <w:spacing w:line="460" w:lineRule="exact"/>
              <w:ind w:right="40" w:rightChars="19"/>
              <w:jc w:val="center"/>
              <w:rPr>
                <w:sz w:val="20"/>
                <w:szCs w:val="20"/>
              </w:rPr>
            </w:pPr>
            <w:r>
              <w:rPr>
                <w:rFonts w:hint="eastAsia"/>
                <w:sz w:val="20"/>
                <w:szCs w:val="20"/>
              </w:rPr>
              <w:t>建筑金属围护系统工程技术标准</w:t>
            </w:r>
          </w:p>
        </w:tc>
        <w:tc>
          <w:tcPr>
            <w:tcW w:w="3709" w:type="dxa"/>
            <w:vAlign w:val="center"/>
          </w:tcPr>
          <w:p>
            <w:pPr>
              <w:spacing w:line="460" w:lineRule="exact"/>
              <w:ind w:right="40" w:rightChars="19"/>
              <w:jc w:val="center"/>
              <w:rPr>
                <w:sz w:val="20"/>
                <w:szCs w:val="20"/>
              </w:rPr>
            </w:pPr>
            <w:r>
              <w:rPr>
                <w:rFonts w:hint="eastAsia"/>
                <w:sz w:val="20"/>
                <w:szCs w:val="20"/>
              </w:rPr>
              <w:t>抗风揭设计要求</w:t>
            </w:r>
          </w:p>
        </w:tc>
        <w:tc>
          <w:tcPr>
            <w:tcW w:w="1389" w:type="dxa"/>
            <w:tcBorders>
              <w:right w:val="single" w:color="auto" w:sz="12" w:space="0"/>
            </w:tcBorders>
            <w:vAlign w:val="center"/>
          </w:tcPr>
          <w:p>
            <w:pPr>
              <w:spacing w:line="460" w:lineRule="exact"/>
              <w:ind w:right="40" w:rightChars="19"/>
              <w:jc w:val="center"/>
              <w:rPr>
                <w:sz w:val="20"/>
                <w:szCs w:val="20"/>
              </w:rPr>
            </w:pPr>
            <w:r>
              <w:rPr>
                <w:rFonts w:hint="eastAsia"/>
                <w:sz w:val="20"/>
                <w:szCs w:val="20"/>
              </w:rPr>
              <w:t>JGJ/T 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3" w:type="dxa"/>
            <w:tcBorders>
              <w:left w:val="single" w:color="auto" w:sz="12" w:space="0"/>
            </w:tcBorders>
            <w:vAlign w:val="center"/>
          </w:tcPr>
          <w:p>
            <w:pPr>
              <w:spacing w:line="460" w:lineRule="exact"/>
              <w:ind w:right="40" w:rightChars="19"/>
              <w:jc w:val="center"/>
              <w:rPr>
                <w:sz w:val="20"/>
                <w:szCs w:val="20"/>
              </w:rPr>
            </w:pPr>
            <w:r>
              <w:rPr>
                <w:rFonts w:hint="eastAsia"/>
                <w:sz w:val="20"/>
                <w:szCs w:val="20"/>
              </w:rPr>
              <w:t>6</w:t>
            </w:r>
          </w:p>
        </w:tc>
        <w:tc>
          <w:tcPr>
            <w:tcW w:w="3300" w:type="dxa"/>
            <w:vAlign w:val="center"/>
          </w:tcPr>
          <w:p>
            <w:pPr>
              <w:spacing w:line="460" w:lineRule="exact"/>
              <w:ind w:right="40" w:rightChars="19"/>
              <w:jc w:val="center"/>
              <w:rPr>
                <w:sz w:val="20"/>
                <w:szCs w:val="20"/>
              </w:rPr>
            </w:pPr>
            <w:r>
              <w:rPr>
                <w:rFonts w:hint="eastAsia"/>
                <w:sz w:val="20"/>
                <w:szCs w:val="20"/>
              </w:rPr>
              <w:t>聚氯乙烯（PVC）防水卷材</w:t>
            </w:r>
          </w:p>
        </w:tc>
        <w:tc>
          <w:tcPr>
            <w:tcW w:w="3709" w:type="dxa"/>
            <w:vAlign w:val="center"/>
          </w:tcPr>
          <w:p>
            <w:pPr>
              <w:spacing w:line="460" w:lineRule="exact"/>
              <w:ind w:right="40" w:rightChars="19"/>
              <w:jc w:val="center"/>
              <w:rPr>
                <w:sz w:val="20"/>
                <w:szCs w:val="20"/>
              </w:rPr>
            </w:pPr>
            <w:r>
              <w:rPr>
                <w:rFonts w:hint="eastAsia"/>
                <w:sz w:val="20"/>
                <w:szCs w:val="20"/>
              </w:rPr>
              <w:t>PVC材料性能指标</w:t>
            </w:r>
          </w:p>
        </w:tc>
        <w:tc>
          <w:tcPr>
            <w:tcW w:w="1389" w:type="dxa"/>
            <w:tcBorders>
              <w:right w:val="single" w:color="auto" w:sz="12" w:space="0"/>
            </w:tcBorders>
            <w:vAlign w:val="center"/>
          </w:tcPr>
          <w:p>
            <w:pPr>
              <w:spacing w:line="460" w:lineRule="exact"/>
              <w:ind w:right="40" w:rightChars="19"/>
              <w:jc w:val="center"/>
              <w:rPr>
                <w:sz w:val="20"/>
                <w:szCs w:val="20"/>
              </w:rPr>
            </w:pPr>
            <w:r>
              <w:rPr>
                <w:rFonts w:hint="eastAsia"/>
                <w:sz w:val="20"/>
                <w:szCs w:val="20"/>
              </w:rPr>
              <w:t>GB 12952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3" w:type="dxa"/>
            <w:tcBorders>
              <w:left w:val="single" w:color="auto" w:sz="12" w:space="0"/>
            </w:tcBorders>
            <w:vAlign w:val="center"/>
          </w:tcPr>
          <w:p>
            <w:pPr>
              <w:spacing w:line="460" w:lineRule="exact"/>
              <w:ind w:right="40" w:rightChars="19"/>
              <w:jc w:val="center"/>
              <w:rPr>
                <w:sz w:val="20"/>
                <w:szCs w:val="20"/>
              </w:rPr>
            </w:pPr>
            <w:r>
              <w:rPr>
                <w:rFonts w:hint="eastAsia"/>
                <w:sz w:val="20"/>
                <w:szCs w:val="20"/>
              </w:rPr>
              <w:t>7</w:t>
            </w:r>
          </w:p>
        </w:tc>
        <w:tc>
          <w:tcPr>
            <w:tcW w:w="3300" w:type="dxa"/>
            <w:vAlign w:val="center"/>
          </w:tcPr>
          <w:p>
            <w:pPr>
              <w:spacing w:line="460" w:lineRule="exact"/>
              <w:ind w:right="40" w:rightChars="19"/>
              <w:jc w:val="center"/>
              <w:rPr>
                <w:sz w:val="20"/>
                <w:szCs w:val="20"/>
              </w:rPr>
            </w:pPr>
            <w:r>
              <w:rPr>
                <w:rFonts w:hint="eastAsia"/>
                <w:sz w:val="20"/>
                <w:szCs w:val="20"/>
              </w:rPr>
              <w:t>热塑性聚烯烃（TPO）防水卷材</w:t>
            </w:r>
          </w:p>
        </w:tc>
        <w:tc>
          <w:tcPr>
            <w:tcW w:w="3709" w:type="dxa"/>
            <w:vAlign w:val="center"/>
          </w:tcPr>
          <w:p>
            <w:pPr>
              <w:spacing w:line="460" w:lineRule="exact"/>
              <w:ind w:right="40" w:rightChars="19"/>
              <w:jc w:val="center"/>
              <w:rPr>
                <w:sz w:val="20"/>
                <w:szCs w:val="20"/>
              </w:rPr>
            </w:pPr>
            <w:r>
              <w:rPr>
                <w:rFonts w:hint="eastAsia"/>
                <w:sz w:val="20"/>
                <w:szCs w:val="20"/>
              </w:rPr>
              <w:t>TPO材料性能指标</w:t>
            </w:r>
          </w:p>
        </w:tc>
        <w:tc>
          <w:tcPr>
            <w:tcW w:w="1389" w:type="dxa"/>
            <w:tcBorders>
              <w:right w:val="single" w:color="auto" w:sz="12" w:space="0"/>
            </w:tcBorders>
            <w:vAlign w:val="center"/>
          </w:tcPr>
          <w:p>
            <w:pPr>
              <w:spacing w:line="460" w:lineRule="exact"/>
              <w:ind w:right="40" w:rightChars="19"/>
              <w:jc w:val="center"/>
              <w:rPr>
                <w:sz w:val="20"/>
                <w:szCs w:val="20"/>
              </w:rPr>
            </w:pPr>
            <w:r>
              <w:rPr>
                <w:rFonts w:hint="eastAsia"/>
                <w:sz w:val="20"/>
                <w:szCs w:val="20"/>
              </w:rPr>
              <w:t>GB 27789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3" w:type="dxa"/>
            <w:tcBorders>
              <w:left w:val="single" w:color="auto" w:sz="12" w:space="0"/>
            </w:tcBorders>
            <w:vAlign w:val="center"/>
          </w:tcPr>
          <w:p>
            <w:pPr>
              <w:spacing w:line="460" w:lineRule="exact"/>
              <w:ind w:right="40" w:rightChars="19"/>
              <w:jc w:val="center"/>
              <w:rPr>
                <w:sz w:val="20"/>
                <w:szCs w:val="20"/>
              </w:rPr>
            </w:pPr>
            <w:r>
              <w:rPr>
                <w:rFonts w:hint="eastAsia"/>
                <w:sz w:val="20"/>
                <w:szCs w:val="20"/>
              </w:rPr>
              <w:t>8</w:t>
            </w:r>
          </w:p>
        </w:tc>
        <w:tc>
          <w:tcPr>
            <w:tcW w:w="3300" w:type="dxa"/>
            <w:vAlign w:val="center"/>
          </w:tcPr>
          <w:p>
            <w:pPr>
              <w:spacing w:line="460" w:lineRule="exact"/>
              <w:ind w:right="40" w:rightChars="19"/>
              <w:jc w:val="center"/>
              <w:rPr>
                <w:sz w:val="20"/>
                <w:szCs w:val="20"/>
              </w:rPr>
            </w:pPr>
            <w:r>
              <w:rPr>
                <w:rFonts w:hint="eastAsia"/>
                <w:sz w:val="20"/>
                <w:szCs w:val="20"/>
              </w:rPr>
              <w:t>高分子防水材料 第1部分：片材</w:t>
            </w:r>
          </w:p>
        </w:tc>
        <w:tc>
          <w:tcPr>
            <w:tcW w:w="3709" w:type="dxa"/>
            <w:vAlign w:val="center"/>
          </w:tcPr>
          <w:p>
            <w:pPr>
              <w:spacing w:line="460" w:lineRule="exact"/>
              <w:ind w:right="40" w:rightChars="19"/>
              <w:jc w:val="center"/>
              <w:rPr>
                <w:sz w:val="20"/>
                <w:szCs w:val="20"/>
              </w:rPr>
            </w:pPr>
            <w:r>
              <w:rPr>
                <w:rFonts w:hint="eastAsia"/>
                <w:sz w:val="20"/>
                <w:szCs w:val="20"/>
              </w:rPr>
              <w:t>三元乙丙（EPDM）材料性能指标</w:t>
            </w:r>
          </w:p>
        </w:tc>
        <w:tc>
          <w:tcPr>
            <w:tcW w:w="1389" w:type="dxa"/>
            <w:tcBorders>
              <w:right w:val="single" w:color="auto" w:sz="12" w:space="0"/>
            </w:tcBorders>
            <w:vAlign w:val="center"/>
          </w:tcPr>
          <w:p>
            <w:pPr>
              <w:spacing w:line="460" w:lineRule="exact"/>
              <w:ind w:right="40" w:rightChars="19"/>
              <w:jc w:val="center"/>
              <w:rPr>
                <w:sz w:val="20"/>
                <w:szCs w:val="20"/>
              </w:rPr>
            </w:pPr>
            <w:r>
              <w:rPr>
                <w:rFonts w:hint="eastAsia"/>
                <w:sz w:val="20"/>
                <w:szCs w:val="20"/>
              </w:rPr>
              <w:t>GB 18173.1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3" w:type="dxa"/>
            <w:tcBorders>
              <w:left w:val="single" w:color="auto" w:sz="12" w:space="0"/>
            </w:tcBorders>
            <w:vAlign w:val="center"/>
          </w:tcPr>
          <w:p>
            <w:pPr>
              <w:spacing w:line="460" w:lineRule="exact"/>
              <w:ind w:right="40" w:rightChars="19"/>
              <w:jc w:val="center"/>
              <w:rPr>
                <w:sz w:val="20"/>
                <w:szCs w:val="20"/>
              </w:rPr>
            </w:pPr>
            <w:r>
              <w:rPr>
                <w:rFonts w:hint="eastAsia"/>
                <w:sz w:val="20"/>
                <w:szCs w:val="20"/>
              </w:rPr>
              <w:t>9</w:t>
            </w:r>
          </w:p>
        </w:tc>
        <w:tc>
          <w:tcPr>
            <w:tcW w:w="3300" w:type="dxa"/>
            <w:vAlign w:val="center"/>
          </w:tcPr>
          <w:p>
            <w:pPr>
              <w:spacing w:line="460" w:lineRule="exact"/>
              <w:ind w:right="40" w:rightChars="19"/>
              <w:jc w:val="center"/>
              <w:rPr>
                <w:sz w:val="20"/>
                <w:szCs w:val="20"/>
              </w:rPr>
            </w:pPr>
            <w:r>
              <w:rPr>
                <w:rFonts w:hint="eastAsia"/>
                <w:sz w:val="20"/>
                <w:szCs w:val="20"/>
              </w:rPr>
              <w:t>防水卷材屋面用机械固定件</w:t>
            </w:r>
          </w:p>
        </w:tc>
        <w:tc>
          <w:tcPr>
            <w:tcW w:w="3709" w:type="dxa"/>
            <w:vAlign w:val="center"/>
          </w:tcPr>
          <w:p>
            <w:pPr>
              <w:spacing w:line="460" w:lineRule="exact"/>
              <w:ind w:right="40" w:rightChars="19"/>
              <w:jc w:val="center"/>
              <w:rPr>
                <w:sz w:val="20"/>
                <w:szCs w:val="20"/>
              </w:rPr>
            </w:pPr>
            <w:r>
              <w:rPr>
                <w:rFonts w:hint="eastAsia"/>
                <w:sz w:val="20"/>
                <w:szCs w:val="20"/>
              </w:rPr>
              <w:t>机械固定件设计要求</w:t>
            </w:r>
          </w:p>
        </w:tc>
        <w:tc>
          <w:tcPr>
            <w:tcW w:w="1389" w:type="dxa"/>
            <w:tcBorders>
              <w:right w:val="single" w:color="auto" w:sz="12" w:space="0"/>
            </w:tcBorders>
            <w:vAlign w:val="center"/>
          </w:tcPr>
          <w:p>
            <w:pPr>
              <w:spacing w:line="460" w:lineRule="exact"/>
              <w:ind w:right="40" w:rightChars="19"/>
              <w:jc w:val="center"/>
              <w:rPr>
                <w:sz w:val="20"/>
                <w:szCs w:val="20"/>
              </w:rPr>
            </w:pPr>
            <w:r>
              <w:rPr>
                <w:rFonts w:hint="eastAsia"/>
                <w:sz w:val="20"/>
                <w:szCs w:val="20"/>
              </w:rPr>
              <w:t>JG/T 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3" w:type="dxa"/>
            <w:tcBorders>
              <w:left w:val="single" w:color="auto" w:sz="12" w:space="0"/>
            </w:tcBorders>
            <w:vAlign w:val="center"/>
          </w:tcPr>
          <w:p>
            <w:pPr>
              <w:spacing w:line="460" w:lineRule="exact"/>
              <w:ind w:right="40" w:rightChars="19"/>
              <w:jc w:val="center"/>
              <w:rPr>
                <w:sz w:val="20"/>
                <w:szCs w:val="20"/>
              </w:rPr>
            </w:pPr>
            <w:r>
              <w:rPr>
                <w:rFonts w:hint="eastAsia"/>
                <w:sz w:val="20"/>
                <w:szCs w:val="20"/>
              </w:rPr>
              <w:t>10</w:t>
            </w:r>
          </w:p>
        </w:tc>
        <w:tc>
          <w:tcPr>
            <w:tcW w:w="3300" w:type="dxa"/>
            <w:vAlign w:val="center"/>
          </w:tcPr>
          <w:p>
            <w:pPr>
              <w:spacing w:line="460" w:lineRule="exact"/>
              <w:ind w:right="40" w:rightChars="19"/>
              <w:jc w:val="center"/>
              <w:rPr>
                <w:sz w:val="20"/>
                <w:szCs w:val="20"/>
              </w:rPr>
            </w:pPr>
            <w:r>
              <w:rPr>
                <w:sz w:val="20"/>
                <w:szCs w:val="20"/>
              </w:rPr>
              <w:t>建筑工程施工质量验收统一标准</w:t>
            </w:r>
          </w:p>
        </w:tc>
        <w:tc>
          <w:tcPr>
            <w:tcW w:w="3709" w:type="dxa"/>
            <w:vAlign w:val="center"/>
          </w:tcPr>
          <w:p>
            <w:pPr>
              <w:spacing w:line="460" w:lineRule="exact"/>
              <w:ind w:right="40" w:rightChars="19"/>
              <w:jc w:val="center"/>
              <w:rPr>
                <w:sz w:val="20"/>
                <w:szCs w:val="20"/>
              </w:rPr>
            </w:pPr>
            <w:r>
              <w:rPr>
                <w:rFonts w:hint="eastAsia"/>
                <w:sz w:val="20"/>
                <w:szCs w:val="20"/>
              </w:rPr>
              <w:t>质量验收</w:t>
            </w:r>
          </w:p>
        </w:tc>
        <w:tc>
          <w:tcPr>
            <w:tcW w:w="1389" w:type="dxa"/>
            <w:tcBorders>
              <w:right w:val="single" w:color="auto" w:sz="12" w:space="0"/>
            </w:tcBorders>
            <w:vAlign w:val="center"/>
          </w:tcPr>
          <w:p>
            <w:pPr>
              <w:spacing w:line="460" w:lineRule="exact"/>
              <w:ind w:right="40" w:rightChars="19"/>
              <w:jc w:val="center"/>
              <w:rPr>
                <w:sz w:val="20"/>
                <w:szCs w:val="20"/>
              </w:rPr>
            </w:pPr>
            <w:r>
              <w:rPr>
                <w:rFonts w:hint="eastAsia"/>
                <w:sz w:val="20"/>
                <w:szCs w:val="20"/>
              </w:rPr>
              <w:t>GB 50300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3" w:type="dxa"/>
            <w:tcBorders>
              <w:left w:val="single" w:color="auto" w:sz="12" w:space="0"/>
            </w:tcBorders>
            <w:vAlign w:val="center"/>
          </w:tcPr>
          <w:p>
            <w:pPr>
              <w:spacing w:line="460" w:lineRule="exact"/>
              <w:ind w:right="40" w:rightChars="19"/>
              <w:jc w:val="center"/>
              <w:rPr>
                <w:sz w:val="20"/>
                <w:szCs w:val="20"/>
              </w:rPr>
            </w:pPr>
            <w:r>
              <w:rPr>
                <w:rFonts w:hint="eastAsia"/>
                <w:sz w:val="20"/>
                <w:szCs w:val="20"/>
              </w:rPr>
              <w:t>11</w:t>
            </w:r>
          </w:p>
        </w:tc>
        <w:tc>
          <w:tcPr>
            <w:tcW w:w="3300" w:type="dxa"/>
            <w:vAlign w:val="center"/>
          </w:tcPr>
          <w:p>
            <w:pPr>
              <w:spacing w:line="460" w:lineRule="exact"/>
              <w:ind w:right="40" w:rightChars="19"/>
              <w:jc w:val="center"/>
              <w:rPr>
                <w:sz w:val="20"/>
                <w:szCs w:val="20"/>
              </w:rPr>
            </w:pPr>
            <w:r>
              <w:rPr>
                <w:rFonts w:hint="eastAsia"/>
                <w:sz w:val="20"/>
                <w:szCs w:val="20"/>
              </w:rPr>
              <w:t>屋面工程质量验收规范</w:t>
            </w:r>
          </w:p>
        </w:tc>
        <w:tc>
          <w:tcPr>
            <w:tcW w:w="3709" w:type="dxa"/>
            <w:vAlign w:val="center"/>
          </w:tcPr>
          <w:p>
            <w:pPr>
              <w:spacing w:line="460" w:lineRule="exact"/>
              <w:ind w:right="40" w:rightChars="19"/>
              <w:jc w:val="center"/>
              <w:rPr>
                <w:sz w:val="20"/>
                <w:szCs w:val="20"/>
              </w:rPr>
            </w:pPr>
            <w:r>
              <w:rPr>
                <w:rFonts w:hint="eastAsia"/>
                <w:sz w:val="20"/>
                <w:szCs w:val="20"/>
              </w:rPr>
              <w:t>质量验收</w:t>
            </w:r>
          </w:p>
        </w:tc>
        <w:tc>
          <w:tcPr>
            <w:tcW w:w="1389" w:type="dxa"/>
            <w:tcBorders>
              <w:right w:val="single" w:color="auto" w:sz="12" w:space="0"/>
            </w:tcBorders>
            <w:vAlign w:val="center"/>
          </w:tcPr>
          <w:p>
            <w:pPr>
              <w:spacing w:line="460" w:lineRule="exact"/>
              <w:ind w:right="40" w:rightChars="19"/>
              <w:jc w:val="center"/>
              <w:rPr>
                <w:sz w:val="20"/>
                <w:szCs w:val="20"/>
              </w:rPr>
            </w:pPr>
            <w:r>
              <w:rPr>
                <w:rFonts w:hint="eastAsia"/>
                <w:sz w:val="20"/>
                <w:szCs w:val="20"/>
              </w:rPr>
              <w:t>GB 50207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3" w:type="dxa"/>
            <w:tcBorders>
              <w:left w:val="single" w:color="auto" w:sz="12" w:space="0"/>
            </w:tcBorders>
            <w:vAlign w:val="center"/>
          </w:tcPr>
          <w:p>
            <w:pPr>
              <w:spacing w:line="460" w:lineRule="exact"/>
              <w:ind w:right="40" w:rightChars="19"/>
              <w:jc w:val="center"/>
              <w:rPr>
                <w:sz w:val="20"/>
                <w:szCs w:val="20"/>
              </w:rPr>
            </w:pPr>
            <w:r>
              <w:rPr>
                <w:rFonts w:hint="eastAsia"/>
                <w:sz w:val="20"/>
                <w:szCs w:val="20"/>
              </w:rPr>
              <w:t>12</w:t>
            </w:r>
          </w:p>
        </w:tc>
        <w:tc>
          <w:tcPr>
            <w:tcW w:w="3300" w:type="dxa"/>
            <w:vAlign w:val="center"/>
          </w:tcPr>
          <w:p>
            <w:pPr>
              <w:spacing w:line="460" w:lineRule="exact"/>
              <w:ind w:right="40" w:rightChars="19"/>
              <w:jc w:val="center"/>
              <w:rPr>
                <w:sz w:val="20"/>
                <w:szCs w:val="20"/>
              </w:rPr>
            </w:pPr>
            <w:r>
              <w:rPr>
                <w:rFonts w:hint="eastAsia" w:ascii="宋体" w:hAnsi="宋体"/>
                <w:bCs/>
                <w:sz w:val="20"/>
                <w:szCs w:val="20"/>
              </w:rPr>
              <w:t>建筑屋面雨水排水系统技术规程</w:t>
            </w:r>
          </w:p>
        </w:tc>
        <w:tc>
          <w:tcPr>
            <w:tcW w:w="3709" w:type="dxa"/>
            <w:vAlign w:val="center"/>
          </w:tcPr>
          <w:p>
            <w:pPr>
              <w:spacing w:line="460" w:lineRule="exact"/>
              <w:ind w:right="40" w:rightChars="19"/>
              <w:jc w:val="center"/>
              <w:rPr>
                <w:sz w:val="20"/>
                <w:szCs w:val="20"/>
              </w:rPr>
            </w:pPr>
            <w:r>
              <w:rPr>
                <w:rFonts w:hint="eastAsia"/>
                <w:sz w:val="20"/>
                <w:szCs w:val="20"/>
              </w:rPr>
              <w:t>排水设计</w:t>
            </w:r>
          </w:p>
        </w:tc>
        <w:tc>
          <w:tcPr>
            <w:tcW w:w="1389" w:type="dxa"/>
            <w:tcBorders>
              <w:right w:val="single" w:color="auto" w:sz="12" w:space="0"/>
            </w:tcBorders>
            <w:vAlign w:val="center"/>
          </w:tcPr>
          <w:p>
            <w:pPr>
              <w:spacing w:line="460" w:lineRule="exact"/>
              <w:ind w:right="40" w:rightChars="19"/>
              <w:jc w:val="center"/>
              <w:rPr>
                <w:sz w:val="20"/>
                <w:szCs w:val="20"/>
              </w:rPr>
            </w:pPr>
            <w:r>
              <w:rPr>
                <w:rFonts w:hint="eastAsia"/>
                <w:sz w:val="20"/>
                <w:szCs w:val="20"/>
              </w:rPr>
              <w:t>CJJ 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3" w:type="dxa"/>
            <w:tcBorders>
              <w:left w:val="single" w:color="auto" w:sz="12" w:space="0"/>
            </w:tcBorders>
            <w:vAlign w:val="center"/>
          </w:tcPr>
          <w:p>
            <w:pPr>
              <w:spacing w:line="460" w:lineRule="exact"/>
              <w:ind w:right="40" w:rightChars="19"/>
              <w:jc w:val="center"/>
              <w:rPr>
                <w:sz w:val="20"/>
                <w:szCs w:val="20"/>
              </w:rPr>
            </w:pPr>
            <w:r>
              <w:rPr>
                <w:rFonts w:hint="eastAsia"/>
                <w:sz w:val="20"/>
                <w:szCs w:val="20"/>
              </w:rPr>
              <w:t>13</w:t>
            </w:r>
          </w:p>
        </w:tc>
        <w:tc>
          <w:tcPr>
            <w:tcW w:w="3300" w:type="dxa"/>
            <w:vAlign w:val="center"/>
          </w:tcPr>
          <w:p>
            <w:pPr>
              <w:spacing w:line="460" w:lineRule="exact"/>
              <w:ind w:right="40" w:rightChars="19"/>
              <w:jc w:val="center"/>
              <w:rPr>
                <w:sz w:val="20"/>
                <w:szCs w:val="20"/>
              </w:rPr>
            </w:pPr>
            <w:r>
              <w:rPr>
                <w:rFonts w:hint="eastAsia"/>
                <w:sz w:val="20"/>
                <w:szCs w:val="20"/>
              </w:rPr>
              <w:t>建筑设计防火规范</w:t>
            </w:r>
          </w:p>
        </w:tc>
        <w:tc>
          <w:tcPr>
            <w:tcW w:w="3709" w:type="dxa"/>
            <w:vAlign w:val="center"/>
          </w:tcPr>
          <w:p>
            <w:pPr>
              <w:spacing w:line="460" w:lineRule="exact"/>
              <w:ind w:right="40" w:rightChars="19"/>
              <w:jc w:val="center"/>
              <w:rPr>
                <w:sz w:val="20"/>
                <w:szCs w:val="20"/>
              </w:rPr>
            </w:pPr>
            <w:r>
              <w:rPr>
                <w:rFonts w:hint="eastAsia"/>
                <w:sz w:val="20"/>
                <w:szCs w:val="20"/>
              </w:rPr>
              <w:t>防火要求</w:t>
            </w:r>
          </w:p>
        </w:tc>
        <w:tc>
          <w:tcPr>
            <w:tcW w:w="1389" w:type="dxa"/>
            <w:tcBorders>
              <w:right w:val="single" w:color="auto" w:sz="12" w:space="0"/>
            </w:tcBorders>
            <w:vAlign w:val="center"/>
          </w:tcPr>
          <w:p>
            <w:pPr>
              <w:spacing w:line="460" w:lineRule="exact"/>
              <w:ind w:right="40" w:rightChars="19"/>
              <w:jc w:val="center"/>
              <w:rPr>
                <w:sz w:val="20"/>
                <w:szCs w:val="20"/>
              </w:rPr>
            </w:pPr>
            <w:r>
              <w:rPr>
                <w:rFonts w:hint="eastAsia"/>
                <w:sz w:val="20"/>
                <w:szCs w:val="20"/>
              </w:rPr>
              <w:t>GB 50016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3" w:type="dxa"/>
            <w:tcBorders>
              <w:left w:val="single" w:color="auto" w:sz="12" w:space="0"/>
            </w:tcBorders>
            <w:vAlign w:val="center"/>
          </w:tcPr>
          <w:p>
            <w:pPr>
              <w:spacing w:line="460" w:lineRule="exact"/>
              <w:ind w:right="40" w:rightChars="19"/>
              <w:jc w:val="center"/>
              <w:rPr>
                <w:sz w:val="20"/>
                <w:szCs w:val="20"/>
              </w:rPr>
            </w:pPr>
            <w:r>
              <w:rPr>
                <w:rFonts w:hint="eastAsia"/>
                <w:sz w:val="20"/>
                <w:szCs w:val="20"/>
              </w:rPr>
              <w:t>14</w:t>
            </w:r>
          </w:p>
        </w:tc>
        <w:tc>
          <w:tcPr>
            <w:tcW w:w="3300" w:type="dxa"/>
            <w:vAlign w:val="center"/>
          </w:tcPr>
          <w:p>
            <w:pPr>
              <w:spacing w:line="460" w:lineRule="exact"/>
              <w:ind w:right="40" w:rightChars="19"/>
              <w:jc w:val="center"/>
              <w:rPr>
                <w:sz w:val="20"/>
                <w:szCs w:val="20"/>
              </w:rPr>
            </w:pPr>
            <w:r>
              <w:rPr>
                <w:rFonts w:hint="eastAsia"/>
                <w:sz w:val="20"/>
                <w:szCs w:val="20"/>
              </w:rPr>
              <w:t>建筑物防雷设计规范</w:t>
            </w:r>
          </w:p>
        </w:tc>
        <w:tc>
          <w:tcPr>
            <w:tcW w:w="3709" w:type="dxa"/>
            <w:vAlign w:val="center"/>
          </w:tcPr>
          <w:p>
            <w:pPr>
              <w:spacing w:line="460" w:lineRule="exact"/>
              <w:ind w:right="40" w:rightChars="19"/>
              <w:jc w:val="center"/>
              <w:rPr>
                <w:sz w:val="20"/>
                <w:szCs w:val="20"/>
              </w:rPr>
            </w:pPr>
            <w:r>
              <w:rPr>
                <w:rFonts w:hint="eastAsia"/>
                <w:sz w:val="20"/>
                <w:szCs w:val="20"/>
              </w:rPr>
              <w:t>防雷要求</w:t>
            </w:r>
          </w:p>
        </w:tc>
        <w:tc>
          <w:tcPr>
            <w:tcW w:w="1389" w:type="dxa"/>
            <w:tcBorders>
              <w:right w:val="single" w:color="auto" w:sz="12" w:space="0"/>
            </w:tcBorders>
            <w:vAlign w:val="center"/>
          </w:tcPr>
          <w:p>
            <w:pPr>
              <w:spacing w:line="460" w:lineRule="exact"/>
              <w:ind w:right="40" w:rightChars="19"/>
              <w:jc w:val="center"/>
              <w:rPr>
                <w:sz w:val="20"/>
                <w:szCs w:val="20"/>
              </w:rPr>
            </w:pPr>
            <w:r>
              <w:rPr>
                <w:rFonts w:hint="eastAsia"/>
                <w:sz w:val="20"/>
                <w:szCs w:val="20"/>
              </w:rPr>
              <w:t>GB 50057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3" w:type="dxa"/>
            <w:tcBorders>
              <w:left w:val="single" w:color="auto" w:sz="12" w:space="0"/>
            </w:tcBorders>
            <w:vAlign w:val="center"/>
          </w:tcPr>
          <w:p>
            <w:pPr>
              <w:spacing w:line="460" w:lineRule="exact"/>
              <w:ind w:right="40" w:rightChars="19"/>
              <w:jc w:val="center"/>
              <w:rPr>
                <w:sz w:val="20"/>
                <w:szCs w:val="20"/>
              </w:rPr>
            </w:pPr>
            <w:r>
              <w:rPr>
                <w:rFonts w:hint="eastAsia"/>
                <w:sz w:val="20"/>
                <w:szCs w:val="20"/>
              </w:rPr>
              <w:t>15</w:t>
            </w:r>
          </w:p>
        </w:tc>
        <w:tc>
          <w:tcPr>
            <w:tcW w:w="3300" w:type="dxa"/>
            <w:vAlign w:val="center"/>
          </w:tcPr>
          <w:p>
            <w:pPr>
              <w:spacing w:line="460" w:lineRule="exact"/>
              <w:ind w:right="40" w:rightChars="19"/>
              <w:jc w:val="center"/>
              <w:rPr>
                <w:sz w:val="20"/>
                <w:szCs w:val="20"/>
              </w:rPr>
            </w:pPr>
            <w:r>
              <w:rPr>
                <w:rFonts w:hint="eastAsia"/>
                <w:sz w:val="20"/>
                <w:szCs w:val="20"/>
              </w:rPr>
              <w:t>建筑结构荷载规范</w:t>
            </w:r>
          </w:p>
        </w:tc>
        <w:tc>
          <w:tcPr>
            <w:tcW w:w="3709" w:type="dxa"/>
            <w:vAlign w:val="center"/>
          </w:tcPr>
          <w:p>
            <w:pPr>
              <w:spacing w:line="460" w:lineRule="exact"/>
              <w:ind w:right="40" w:rightChars="19"/>
              <w:jc w:val="center"/>
              <w:rPr>
                <w:sz w:val="20"/>
                <w:szCs w:val="20"/>
              </w:rPr>
            </w:pPr>
            <w:r>
              <w:rPr>
                <w:rFonts w:hint="eastAsia"/>
                <w:sz w:val="20"/>
                <w:szCs w:val="20"/>
              </w:rPr>
              <w:t>荷载、载重要求</w:t>
            </w:r>
          </w:p>
        </w:tc>
        <w:tc>
          <w:tcPr>
            <w:tcW w:w="1389" w:type="dxa"/>
            <w:tcBorders>
              <w:right w:val="single" w:color="auto" w:sz="12" w:space="0"/>
            </w:tcBorders>
            <w:vAlign w:val="center"/>
          </w:tcPr>
          <w:p>
            <w:pPr>
              <w:spacing w:line="460" w:lineRule="exact"/>
              <w:ind w:right="40" w:rightChars="19"/>
              <w:jc w:val="center"/>
              <w:rPr>
                <w:sz w:val="20"/>
                <w:szCs w:val="20"/>
              </w:rPr>
            </w:pPr>
            <w:r>
              <w:rPr>
                <w:rFonts w:hint="eastAsia"/>
                <w:sz w:val="20"/>
                <w:szCs w:val="20"/>
              </w:rPr>
              <w:t>GB 50009</w:t>
            </w:r>
          </w:p>
        </w:tc>
      </w:tr>
    </w:tbl>
    <w:p>
      <w:pPr>
        <w:spacing w:line="440" w:lineRule="exact"/>
        <w:ind w:firstLine="442" w:firstLineChars="200"/>
        <w:outlineLvl w:val="2"/>
        <w:rPr>
          <w:b/>
          <w:bCs/>
          <w:sz w:val="22"/>
          <w:szCs w:val="22"/>
        </w:rPr>
      </w:pPr>
      <w:r>
        <w:rPr>
          <w:rFonts w:hint="eastAsia"/>
          <w:b/>
          <w:bCs/>
          <w:sz w:val="22"/>
          <w:szCs w:val="22"/>
        </w:rPr>
        <w:t>1.3.3 工作组讨论征求意见稿形成</w:t>
      </w:r>
    </w:p>
    <w:p>
      <w:pPr>
        <w:spacing w:line="360" w:lineRule="auto"/>
        <w:ind w:firstLine="431" w:firstLineChars="196"/>
        <w:rPr>
          <w:rFonts w:hint="eastAsia"/>
          <w:sz w:val="22"/>
          <w:szCs w:val="22"/>
        </w:rPr>
      </w:pPr>
      <w:r>
        <w:rPr>
          <w:rFonts w:hint="eastAsia"/>
          <w:sz w:val="22"/>
          <w:szCs w:val="22"/>
        </w:rPr>
        <w:t>2022年5月，编制组以线上腾讯会议的方式召开意见稿的最终沟通工作会，由主要起草人及统稿人参加，共计6人，本次会议上专家对该意见稿的条文逐一进行审核校对，提出最终修改意见，并对意见稿的统稿格式进行了讨论和意见汇总，最终达成一致意见，修改后上报该标准最终征求意见稿。</w:t>
      </w:r>
    </w:p>
    <w:p>
      <w:pPr>
        <w:pStyle w:val="38"/>
        <w:spacing w:before="156" w:after="156" w:line="276" w:lineRule="auto"/>
      </w:pPr>
      <w:bookmarkStart w:id="10" w:name="_Toc20366"/>
      <w:bookmarkStart w:id="11" w:name="_Toc22656"/>
      <w:bookmarkStart w:id="12" w:name="_Toc36132044"/>
      <w:bookmarkStart w:id="13" w:name="_Toc2620"/>
      <w:bookmarkStart w:id="14" w:name="_Toc251577422"/>
      <w:bookmarkStart w:id="15" w:name="_Toc222553790"/>
      <w:bookmarkStart w:id="16" w:name="_Toc242585748"/>
      <w:r>
        <w:rPr>
          <w:rFonts w:hint="eastAsia"/>
          <w:lang w:val="en-US" w:eastAsia="zh-CN"/>
        </w:rPr>
        <w:t>二</w:t>
      </w:r>
      <w:r>
        <w:t>、编制原则及标准的主要技术内容说明</w:t>
      </w:r>
      <w:bookmarkEnd w:id="10"/>
      <w:bookmarkEnd w:id="11"/>
      <w:bookmarkEnd w:id="12"/>
      <w:bookmarkEnd w:id="13"/>
      <w:r>
        <w:t xml:space="preserve"> </w:t>
      </w:r>
    </w:p>
    <w:p>
      <w:pPr>
        <w:pStyle w:val="40"/>
        <w:spacing w:before="156" w:after="156" w:line="276" w:lineRule="auto"/>
        <w:rPr>
          <w:rFonts w:ascii="Times New Roman" w:hAnsi="Times New Roman" w:cs="Times New Roman"/>
          <w:sz w:val="22"/>
          <w:szCs w:val="22"/>
        </w:rPr>
      </w:pPr>
      <w:bookmarkStart w:id="17" w:name="_Toc36132045"/>
      <w:r>
        <w:rPr>
          <w:rFonts w:hint="eastAsia" w:ascii="Times New Roman" w:hAnsi="Times New Roman" w:cs="Times New Roman"/>
          <w:sz w:val="22"/>
          <w:szCs w:val="22"/>
        </w:rPr>
        <w:t>3.1 编制原则</w:t>
      </w:r>
      <w:bookmarkEnd w:id="17"/>
    </w:p>
    <w:p>
      <w:pPr>
        <w:spacing w:line="360" w:lineRule="auto"/>
        <w:ind w:firstLine="431" w:firstLineChars="196"/>
        <w:rPr>
          <w:sz w:val="22"/>
          <w:szCs w:val="22"/>
        </w:rPr>
      </w:pPr>
      <w:r>
        <w:rPr>
          <w:rFonts w:hint="eastAsia"/>
          <w:sz w:val="22"/>
          <w:szCs w:val="22"/>
        </w:rPr>
        <w:t>本标准严格遵照GB/T 1.1-2020《标准化工作导则 第1部分 标准的结构和编写》的有关规定起草修订，遵循标准编制的先进性、科学性、一致性和可行性原则，以国家法律法规、技术政策为依据，以保证防水卷材性能、规范施工工艺、提升施工质量、提高经济效益等为主要目的，参考大量相关标准，在理论与实践相结合的基础上，采用合理可行的技术指标与基本要求，使得本标准具有良好的可操作性。</w:t>
      </w:r>
    </w:p>
    <w:p>
      <w:pPr>
        <w:pStyle w:val="40"/>
        <w:spacing w:before="156" w:after="156" w:line="276" w:lineRule="auto"/>
        <w:rPr>
          <w:rFonts w:ascii="Times New Roman" w:hAnsi="Times New Roman" w:cs="Times New Roman"/>
          <w:sz w:val="22"/>
          <w:szCs w:val="22"/>
        </w:rPr>
      </w:pPr>
      <w:bookmarkStart w:id="18" w:name="_Toc36132046"/>
      <w:r>
        <w:rPr>
          <w:rFonts w:hint="eastAsia" w:ascii="Times New Roman" w:hAnsi="Times New Roman" w:cs="Times New Roman"/>
          <w:sz w:val="22"/>
          <w:szCs w:val="22"/>
        </w:rPr>
        <w:t>3.2 标准的主要内容及说明</w:t>
      </w:r>
      <w:bookmarkEnd w:id="18"/>
      <w:r>
        <w:rPr>
          <w:rFonts w:hint="eastAsia" w:ascii="Times New Roman" w:hAnsi="Times New Roman" w:cs="Times New Roman"/>
          <w:sz w:val="22"/>
          <w:szCs w:val="22"/>
        </w:rPr>
        <w:t xml:space="preserve"> </w:t>
      </w:r>
    </w:p>
    <w:p>
      <w:pPr>
        <w:spacing w:line="440" w:lineRule="exact"/>
        <w:ind w:right="0" w:rightChars="0" w:firstLine="442" w:firstLineChars="200"/>
        <w:outlineLvl w:val="2"/>
        <w:rPr>
          <w:b/>
          <w:bCs/>
          <w:sz w:val="22"/>
          <w:szCs w:val="22"/>
        </w:rPr>
      </w:pPr>
      <w:r>
        <w:rPr>
          <w:rFonts w:hint="eastAsia"/>
          <w:b/>
          <w:bCs/>
          <w:sz w:val="22"/>
          <w:szCs w:val="22"/>
        </w:rPr>
        <w:t>3.2.1 标准名称</w:t>
      </w:r>
    </w:p>
    <w:p>
      <w:pPr>
        <w:spacing w:line="360" w:lineRule="auto"/>
        <w:ind w:firstLine="431" w:firstLineChars="196"/>
        <w:rPr>
          <w:sz w:val="22"/>
          <w:szCs w:val="22"/>
        </w:rPr>
      </w:pPr>
      <w:r>
        <w:rPr>
          <w:rFonts w:hint="eastAsia"/>
          <w:sz w:val="22"/>
          <w:szCs w:val="22"/>
        </w:rPr>
        <w:t>标准名称为《单层防水卷材工程技术规程》。</w:t>
      </w:r>
    </w:p>
    <w:p>
      <w:pPr>
        <w:spacing w:line="440" w:lineRule="exact"/>
        <w:ind w:right="0" w:rightChars="0" w:firstLine="442" w:firstLineChars="200"/>
        <w:outlineLvl w:val="2"/>
        <w:rPr>
          <w:rFonts w:hint="eastAsia"/>
          <w:b/>
          <w:bCs/>
          <w:sz w:val="22"/>
          <w:szCs w:val="22"/>
        </w:rPr>
      </w:pPr>
      <w:r>
        <w:rPr>
          <w:rFonts w:hint="eastAsia"/>
          <w:b/>
          <w:bCs/>
          <w:sz w:val="22"/>
          <w:szCs w:val="22"/>
        </w:rPr>
        <w:t>3.2.2 适用范围</w:t>
      </w:r>
    </w:p>
    <w:p>
      <w:pPr>
        <w:spacing w:line="360" w:lineRule="auto"/>
        <w:ind w:firstLine="431" w:firstLineChars="196"/>
        <w:rPr>
          <w:sz w:val="22"/>
          <w:szCs w:val="22"/>
        </w:rPr>
      </w:pPr>
      <w:r>
        <w:rPr>
          <w:rFonts w:hint="eastAsia"/>
          <w:sz w:val="22"/>
          <w:szCs w:val="22"/>
        </w:rPr>
        <w:t>适用于工业与民用建筑中采用单层防水卷材作为防水层的屋面工程的设计、施工及质量验收。</w:t>
      </w:r>
    </w:p>
    <w:p>
      <w:pPr>
        <w:spacing w:line="440" w:lineRule="exact"/>
        <w:ind w:right="0" w:rightChars="0" w:firstLine="442" w:firstLineChars="200"/>
        <w:outlineLvl w:val="2"/>
        <w:rPr>
          <w:b/>
          <w:bCs/>
          <w:sz w:val="22"/>
          <w:szCs w:val="22"/>
        </w:rPr>
      </w:pPr>
      <w:r>
        <w:rPr>
          <w:rFonts w:hint="eastAsia"/>
          <w:b/>
          <w:bCs/>
          <w:sz w:val="22"/>
          <w:szCs w:val="22"/>
        </w:rPr>
        <w:t>3.2.3 总则</w:t>
      </w:r>
    </w:p>
    <w:p>
      <w:pPr>
        <w:spacing w:line="360" w:lineRule="auto"/>
        <w:ind w:firstLine="431" w:firstLineChars="196"/>
        <w:rPr>
          <w:sz w:val="22"/>
          <w:szCs w:val="22"/>
        </w:rPr>
      </w:pPr>
      <w:r>
        <w:rPr>
          <w:rFonts w:hint="eastAsia"/>
          <w:sz w:val="22"/>
          <w:szCs w:val="22"/>
        </w:rPr>
        <w:t>为规范屋面用单层防水卷材在建筑工程中的应用，做到技术先进、安全适用、确保质量、经济合理。</w:t>
      </w:r>
    </w:p>
    <w:p>
      <w:pPr>
        <w:spacing w:line="440" w:lineRule="exact"/>
        <w:ind w:right="0" w:rightChars="0" w:firstLine="442" w:firstLineChars="200"/>
        <w:outlineLvl w:val="2"/>
        <w:rPr>
          <w:b/>
          <w:bCs/>
          <w:sz w:val="22"/>
          <w:szCs w:val="22"/>
        </w:rPr>
      </w:pPr>
      <w:r>
        <w:rPr>
          <w:rFonts w:hint="eastAsia"/>
          <w:b/>
          <w:bCs/>
          <w:sz w:val="22"/>
          <w:szCs w:val="22"/>
        </w:rPr>
        <w:t>3.2.4 术语</w:t>
      </w:r>
    </w:p>
    <w:p>
      <w:pPr>
        <w:spacing w:line="360" w:lineRule="auto"/>
        <w:ind w:firstLine="431" w:firstLineChars="196"/>
        <w:rPr>
          <w:sz w:val="22"/>
          <w:szCs w:val="22"/>
        </w:rPr>
      </w:pPr>
      <w:r>
        <w:rPr>
          <w:rFonts w:hint="eastAsia"/>
          <w:sz w:val="22"/>
          <w:szCs w:val="22"/>
        </w:rPr>
        <w:t>住建部</w:t>
      </w:r>
      <w:r>
        <w:rPr>
          <w:rFonts w:hint="eastAsia"/>
          <w:sz w:val="22"/>
          <w:szCs w:val="22"/>
          <w:lang w:eastAsia="zh-CN"/>
        </w:rPr>
        <w:t>《单层防水卷材屋面工程技术规程》</w:t>
      </w:r>
      <w:r>
        <w:rPr>
          <w:rFonts w:hint="eastAsia"/>
          <w:sz w:val="22"/>
          <w:szCs w:val="22"/>
        </w:rPr>
        <w:t>JGJ/T 316内对单卷屋面、机械固定法等术语进行了规定，但是在建材行业标准内，对相近的术语进行了另外的规定，如参考国家强制性条文内的相关要求，对采用可外露使用的单层高分子卷材防水层与相关构造层组成的屋面系统定义为“单层防水卷材屋面”。此外对采用单层高分子防水卷材作为防水层的施工方法分别定义，如“机械固定法施工”、“粘接法施工”、“压铺法施工”。以此增加对规范条文的理解。</w:t>
      </w:r>
    </w:p>
    <w:p>
      <w:pPr>
        <w:spacing w:line="360" w:lineRule="auto"/>
        <w:ind w:firstLine="431" w:firstLineChars="196"/>
        <w:rPr>
          <w:sz w:val="22"/>
          <w:szCs w:val="22"/>
        </w:rPr>
      </w:pPr>
      <w:r>
        <w:rPr>
          <w:rFonts w:hint="eastAsia"/>
          <w:sz w:val="22"/>
          <w:szCs w:val="22"/>
        </w:rPr>
        <w:t>“2.0.1</w:t>
      </w:r>
      <w:r>
        <w:rPr>
          <w:rFonts w:hint="eastAsia"/>
          <w:sz w:val="22"/>
          <w:szCs w:val="22"/>
          <w:lang w:val="en-US" w:eastAsia="zh-CN"/>
        </w:rPr>
        <w:t xml:space="preserve"> </w:t>
      </w:r>
      <w:r>
        <w:rPr>
          <w:rFonts w:hint="eastAsia"/>
          <w:sz w:val="22"/>
          <w:szCs w:val="22"/>
        </w:rPr>
        <w:t>单层防水卷材屋面”的定义：国内目前推广的单层卷材屋面项目，使用的多为可外露的高分子防水卷材，在此对单层防水卷材屋面重新定义，准确描述了该屋面系统的使用和构造方式。</w:t>
      </w:r>
    </w:p>
    <w:p>
      <w:pPr>
        <w:spacing w:line="360" w:lineRule="auto"/>
        <w:ind w:firstLine="431" w:firstLineChars="196"/>
        <w:rPr>
          <w:sz w:val="22"/>
          <w:szCs w:val="22"/>
        </w:rPr>
      </w:pPr>
      <w:r>
        <w:rPr>
          <w:rFonts w:hint="eastAsia"/>
          <w:sz w:val="22"/>
          <w:szCs w:val="22"/>
        </w:rPr>
        <w:t>“2.0.2</w:t>
      </w:r>
      <w:r>
        <w:rPr>
          <w:rFonts w:hint="eastAsia"/>
          <w:sz w:val="22"/>
          <w:szCs w:val="22"/>
          <w:lang w:val="en-US" w:eastAsia="zh-CN"/>
        </w:rPr>
        <w:t xml:space="preserve"> </w:t>
      </w:r>
      <w:r>
        <w:rPr>
          <w:rFonts w:hint="eastAsia"/>
          <w:sz w:val="22"/>
          <w:szCs w:val="22"/>
        </w:rPr>
        <w:t>防水设计工作年限”的定义：对防水行业来说，原来一直承继使用的防水设计年限或防水寿命，在全文强制性规范待发布稿中，做出了较大的调整，同时，设计工作年限数字的提升，基础是材料耐久性、施工系统性以及维护保养等多方面，因此对防水设计工作年限进行了定义。</w:t>
      </w:r>
    </w:p>
    <w:p>
      <w:pPr>
        <w:spacing w:line="440" w:lineRule="exact"/>
        <w:ind w:right="0" w:rightChars="0" w:firstLine="442" w:firstLineChars="200"/>
        <w:outlineLvl w:val="2"/>
        <w:rPr>
          <w:b/>
          <w:bCs/>
          <w:sz w:val="22"/>
          <w:szCs w:val="22"/>
        </w:rPr>
      </w:pPr>
      <w:r>
        <w:rPr>
          <w:rFonts w:hint="eastAsia"/>
          <w:b/>
          <w:bCs/>
          <w:sz w:val="22"/>
          <w:szCs w:val="22"/>
        </w:rPr>
        <w:t>3.2.5 防水层技术要求</w:t>
      </w:r>
    </w:p>
    <w:p>
      <w:pPr>
        <w:spacing w:line="360" w:lineRule="auto"/>
        <w:ind w:firstLine="431" w:firstLineChars="196"/>
        <w:rPr>
          <w:rFonts w:hint="eastAsia"/>
          <w:sz w:val="22"/>
          <w:szCs w:val="22"/>
          <w:lang w:eastAsia="zh-CN"/>
        </w:rPr>
      </w:pPr>
      <w:r>
        <w:rPr>
          <w:rFonts w:hint="eastAsia"/>
          <w:sz w:val="22"/>
          <w:szCs w:val="22"/>
        </w:rPr>
        <w:t>待发布的住建部强制性工程建设规范《建筑与市政工程防水通用规范》</w:t>
      </w:r>
      <w:r>
        <w:rPr>
          <w:rFonts w:hint="eastAsia"/>
          <w:sz w:val="22"/>
          <w:szCs w:val="22"/>
          <w:lang w:eastAsia="zh-CN"/>
        </w:rPr>
        <w:t>（报批稿）</w:t>
      </w:r>
      <w:r>
        <w:rPr>
          <w:rFonts w:hint="eastAsia"/>
          <w:sz w:val="22"/>
          <w:szCs w:val="22"/>
        </w:rPr>
        <w:t>中，规定了屋面防水设计工作年限、防水等级以及根据防水等级规定的单层防水卷材的最小厚度等要求</w:t>
      </w:r>
      <w:r>
        <w:rPr>
          <w:rFonts w:hint="eastAsia"/>
          <w:sz w:val="22"/>
          <w:szCs w:val="22"/>
          <w:lang w:eastAsia="zh-CN"/>
        </w:rPr>
        <w:t>。</w:t>
      </w:r>
    </w:p>
    <w:p>
      <w:pPr>
        <w:spacing w:line="360" w:lineRule="auto"/>
        <w:ind w:firstLine="431" w:firstLineChars="196"/>
        <w:rPr>
          <w:rFonts w:hint="eastAsia"/>
          <w:sz w:val="22"/>
          <w:szCs w:val="22"/>
        </w:rPr>
      </w:pPr>
      <w:r>
        <w:rPr>
          <w:rFonts w:hint="eastAsia"/>
          <w:sz w:val="22"/>
          <w:szCs w:val="22"/>
          <w:lang w:val="en-US" w:eastAsia="zh-CN"/>
        </w:rPr>
        <w:t xml:space="preserve">“3.1.1 </w:t>
      </w:r>
      <w:r>
        <w:rPr>
          <w:rFonts w:hint="eastAsia"/>
          <w:kern w:val="2"/>
          <w:sz w:val="22"/>
          <w:szCs w:val="22"/>
        </w:rPr>
        <w:t>单层防水卷材屋面的防水设计工作年限不应低于20年。</w:t>
      </w:r>
      <w:r>
        <w:rPr>
          <w:rFonts w:hint="eastAsia"/>
          <w:sz w:val="22"/>
          <w:szCs w:val="22"/>
          <w:lang w:val="en-US" w:eastAsia="zh-CN"/>
        </w:rPr>
        <w:t>”</w:t>
      </w:r>
      <w:r>
        <w:rPr>
          <w:rFonts w:hint="eastAsia"/>
          <w:sz w:val="22"/>
          <w:szCs w:val="22"/>
        </w:rPr>
        <w:t>《建筑与市政工程防水通用规范》</w:t>
      </w:r>
      <w:r>
        <w:rPr>
          <w:rFonts w:hint="eastAsia"/>
          <w:sz w:val="22"/>
          <w:szCs w:val="22"/>
          <w:lang w:eastAsia="zh-CN"/>
        </w:rPr>
        <w:t>（报批稿）中</w:t>
      </w:r>
      <w:r>
        <w:rPr>
          <w:rFonts w:hint="eastAsia"/>
          <w:sz w:val="22"/>
          <w:szCs w:val="22"/>
        </w:rPr>
        <w:t>对于屋面，要求防水设计工作年限不应低于20年。</w:t>
      </w:r>
      <w:r>
        <w:rPr>
          <w:b w:val="0"/>
          <w:bCs w:val="0"/>
          <w:sz w:val="22"/>
          <w:szCs w:val="22"/>
        </w:rPr>
        <w:t>《</w:t>
      </w:r>
      <w:r>
        <w:rPr>
          <w:rFonts w:hint="eastAsia"/>
          <w:b w:val="0"/>
          <w:bCs w:val="0"/>
          <w:sz w:val="22"/>
          <w:szCs w:val="22"/>
        </w:rPr>
        <w:t>建筑结构可靠性设计统一标准》</w:t>
      </w:r>
      <w:r>
        <w:rPr>
          <w:b w:val="0"/>
          <w:bCs w:val="0"/>
          <w:sz w:val="22"/>
          <w:szCs w:val="22"/>
        </w:rPr>
        <w:t>GB50068-2018</w:t>
      </w:r>
      <w:r>
        <w:rPr>
          <w:rFonts w:hint="eastAsia"/>
          <w:b w:val="0"/>
          <w:bCs w:val="0"/>
          <w:sz w:val="22"/>
          <w:szCs w:val="22"/>
        </w:rPr>
        <w:t>对设计工作年限的定义为：设计规定的结构或结构构件不需要进行大修即可按预定目的使用的年限</w:t>
      </w:r>
      <w:r>
        <w:rPr>
          <w:rFonts w:hint="eastAsia"/>
          <w:sz w:val="22"/>
          <w:szCs w:val="22"/>
          <w:lang w:eastAsia="zh-CN"/>
        </w:rPr>
        <w:t>。</w:t>
      </w:r>
      <w:r>
        <w:rPr>
          <w:rFonts w:hint="eastAsia"/>
          <w:sz w:val="22"/>
          <w:szCs w:val="22"/>
        </w:rPr>
        <w:t>年限可以比其高，不能比其低，以降低单位使用寿命的成本，减少资源消耗和排放。</w:t>
      </w:r>
    </w:p>
    <w:p>
      <w:pPr>
        <w:spacing w:line="440" w:lineRule="exact"/>
        <w:ind w:firstLine="431" w:firstLineChars="196"/>
        <w:rPr>
          <w:rFonts w:hint="eastAsia"/>
          <w:sz w:val="22"/>
          <w:szCs w:val="22"/>
        </w:rPr>
      </w:pPr>
      <w:r>
        <w:rPr>
          <w:rFonts w:hint="eastAsia"/>
          <w:sz w:val="22"/>
          <w:szCs w:val="22"/>
        </w:rPr>
        <w:t>设计工作年限</w:t>
      </w:r>
      <w:r>
        <w:rPr>
          <w:rFonts w:hint="eastAsia"/>
          <w:sz w:val="22"/>
          <w:szCs w:val="22"/>
          <w:lang w:eastAsia="zh-CN"/>
        </w:rPr>
        <w:t>必然与防水材料的</w:t>
      </w:r>
      <w:r>
        <w:rPr>
          <w:rFonts w:hint="eastAsia"/>
          <w:sz w:val="22"/>
          <w:szCs w:val="22"/>
        </w:rPr>
        <w:t>耐久性挂钩。</w:t>
      </w:r>
      <w:r>
        <w:rPr>
          <w:rFonts w:hint="eastAsia"/>
          <w:sz w:val="22"/>
          <w:szCs w:val="22"/>
          <w:lang w:eastAsia="zh-CN"/>
        </w:rPr>
        <w:t>而防水材料的</w:t>
      </w:r>
      <w:r>
        <w:rPr>
          <w:rFonts w:hint="eastAsia"/>
          <w:sz w:val="22"/>
          <w:szCs w:val="22"/>
        </w:rPr>
        <w:t>耐久性评价主要通过耐久性试验（或称加速老化试验）进行。明确耐久性的影响因素后，针对各因素，需要建立对应的耐久性试验方法。这里给出一些常见影响因素和对应的耐久性通用试验方法，见表。其他还有一些特定的影响因素，如耐化学腐蚀、基层高频振动等，可在相应的应用条件下单独提出试验要求。</w:t>
      </w:r>
    </w:p>
    <w:p>
      <w:pPr>
        <w:spacing w:line="440" w:lineRule="exact"/>
        <w:ind w:firstLine="431" w:firstLineChars="196"/>
        <w:rPr>
          <w:rFonts w:hint="eastAsia"/>
          <w:sz w:val="22"/>
          <w:szCs w:val="22"/>
        </w:rPr>
      </w:pPr>
    </w:p>
    <w:tbl>
      <w:tblPr>
        <w:tblStyle w:val="2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900"/>
        <w:gridCol w:w="3622"/>
        <w:gridCol w:w="38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2" w:hRule="atLeast"/>
          <w:jc w:val="center"/>
        </w:trPr>
        <w:tc>
          <w:tcPr>
            <w:tcW w:w="900" w:type="dxa"/>
            <w:tcBorders>
              <w:top w:val="single" w:color="000000" w:sz="12" w:space="0"/>
              <w:left w:val="single" w:color="000000" w:sz="12" w:space="0"/>
              <w:bottom w:val="single" w:color="000000" w:sz="4" w:space="0"/>
              <w:right w:val="single" w:color="000000" w:sz="4" w:space="0"/>
            </w:tcBorders>
            <w:shd w:val="clear" w:color="auto" w:fill="auto"/>
            <w:vAlign w:val="center"/>
          </w:tcPr>
          <w:p>
            <w:pPr>
              <w:pStyle w:val="35"/>
              <w:ind w:firstLine="0" w:firstLineChars="0"/>
              <w:jc w:val="center"/>
              <w:rPr>
                <w:b/>
                <w:bCs/>
                <w:color w:val="000000"/>
                <w:sz w:val="20"/>
                <w:szCs w:val="20"/>
              </w:rPr>
            </w:pPr>
            <w:r>
              <w:rPr>
                <w:rFonts w:hint="eastAsia"/>
                <w:b/>
                <w:bCs/>
                <w:color w:val="000000"/>
                <w:sz w:val="20"/>
                <w:szCs w:val="20"/>
              </w:rPr>
              <w:t>序号</w:t>
            </w:r>
          </w:p>
        </w:tc>
        <w:tc>
          <w:tcPr>
            <w:tcW w:w="3622" w:type="dxa"/>
            <w:tcBorders>
              <w:top w:val="single" w:color="000000" w:sz="12" w:space="0"/>
              <w:left w:val="single" w:color="000000" w:sz="4" w:space="0"/>
              <w:bottom w:val="single" w:color="000000" w:sz="4" w:space="0"/>
              <w:right w:val="single" w:color="000000" w:sz="4" w:space="0"/>
            </w:tcBorders>
            <w:shd w:val="clear" w:color="auto" w:fill="auto"/>
            <w:vAlign w:val="center"/>
          </w:tcPr>
          <w:p>
            <w:pPr>
              <w:pStyle w:val="35"/>
              <w:ind w:firstLine="0" w:firstLineChars="0"/>
              <w:jc w:val="center"/>
              <w:rPr>
                <w:b/>
                <w:bCs/>
                <w:color w:val="000000"/>
                <w:sz w:val="20"/>
                <w:szCs w:val="20"/>
              </w:rPr>
            </w:pPr>
            <w:r>
              <w:rPr>
                <w:rFonts w:hint="eastAsia"/>
                <w:b/>
                <w:bCs/>
                <w:color w:val="000000"/>
                <w:sz w:val="20"/>
                <w:szCs w:val="20"/>
              </w:rPr>
              <w:t>影响因素</w:t>
            </w:r>
          </w:p>
        </w:tc>
        <w:tc>
          <w:tcPr>
            <w:tcW w:w="3892" w:type="dxa"/>
            <w:tcBorders>
              <w:top w:val="single" w:color="000000" w:sz="12" w:space="0"/>
              <w:left w:val="single" w:color="000000" w:sz="4" w:space="0"/>
              <w:bottom w:val="single" w:color="000000" w:sz="4" w:space="0"/>
              <w:right w:val="single" w:color="000000" w:sz="12" w:space="0"/>
            </w:tcBorders>
            <w:shd w:val="clear" w:color="auto" w:fill="auto"/>
            <w:vAlign w:val="center"/>
          </w:tcPr>
          <w:p>
            <w:pPr>
              <w:pStyle w:val="35"/>
              <w:ind w:firstLine="0" w:firstLineChars="0"/>
              <w:jc w:val="center"/>
              <w:rPr>
                <w:b/>
                <w:bCs/>
                <w:color w:val="000000"/>
                <w:sz w:val="20"/>
                <w:szCs w:val="20"/>
              </w:rPr>
            </w:pPr>
            <w:r>
              <w:rPr>
                <w:rFonts w:hint="eastAsia"/>
                <w:b/>
                <w:bCs/>
                <w:color w:val="000000"/>
                <w:sz w:val="20"/>
                <w:szCs w:val="20"/>
              </w:rPr>
              <w:t>评价内容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900" w:type="dxa"/>
            <w:tcBorders>
              <w:top w:val="single" w:color="000000" w:sz="4" w:space="0"/>
              <w:left w:val="single" w:color="000000" w:sz="12" w:space="0"/>
              <w:bottom w:val="single" w:color="000000" w:sz="4" w:space="0"/>
              <w:right w:val="single" w:color="000000" w:sz="4" w:space="0"/>
            </w:tcBorders>
            <w:shd w:val="clear" w:color="auto" w:fill="auto"/>
            <w:vAlign w:val="center"/>
          </w:tcPr>
          <w:p>
            <w:pPr>
              <w:pStyle w:val="35"/>
              <w:ind w:firstLine="0" w:firstLineChars="0"/>
              <w:jc w:val="center"/>
              <w:rPr>
                <w:rFonts w:ascii="Times New Roman"/>
                <w:color w:val="000000"/>
                <w:sz w:val="18"/>
                <w:szCs w:val="18"/>
              </w:rPr>
            </w:pPr>
            <w:r>
              <w:rPr>
                <w:rFonts w:hint="default" w:ascii="Times New Roman"/>
                <w:color w:val="000000"/>
                <w:sz w:val="18"/>
                <w:szCs w:val="18"/>
              </w:rPr>
              <w:t>1</w:t>
            </w:r>
          </w:p>
        </w:tc>
        <w:tc>
          <w:tcPr>
            <w:tcW w:w="362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ind w:firstLine="0" w:firstLineChars="0"/>
              <w:jc w:val="center"/>
              <w:rPr>
                <w:color w:val="000000"/>
                <w:sz w:val="18"/>
                <w:szCs w:val="18"/>
              </w:rPr>
            </w:pPr>
            <w:r>
              <w:rPr>
                <w:rFonts w:hint="eastAsia"/>
                <w:color w:val="000000"/>
                <w:sz w:val="18"/>
                <w:szCs w:val="18"/>
              </w:rPr>
              <w:t>太阳光辐照</w:t>
            </w:r>
          </w:p>
        </w:tc>
        <w:tc>
          <w:tcPr>
            <w:tcW w:w="3892" w:type="dxa"/>
            <w:tcBorders>
              <w:top w:val="single" w:color="000000" w:sz="4" w:space="0"/>
              <w:left w:val="single" w:color="000000" w:sz="4" w:space="0"/>
              <w:bottom w:val="single" w:color="000000" w:sz="4" w:space="0"/>
              <w:right w:val="single" w:color="000000" w:sz="12" w:space="0"/>
            </w:tcBorders>
            <w:shd w:val="clear" w:color="auto" w:fill="auto"/>
            <w:vAlign w:val="center"/>
          </w:tcPr>
          <w:p>
            <w:pPr>
              <w:pStyle w:val="35"/>
              <w:ind w:firstLine="0" w:firstLineChars="0"/>
              <w:jc w:val="center"/>
              <w:rPr>
                <w:color w:val="000000"/>
                <w:sz w:val="18"/>
                <w:szCs w:val="18"/>
              </w:rPr>
            </w:pPr>
            <w:r>
              <w:rPr>
                <w:rFonts w:hint="eastAsia"/>
                <w:color w:val="000000"/>
                <w:sz w:val="18"/>
                <w:szCs w:val="18"/>
              </w:rPr>
              <w:t>人工气候加速老化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900" w:type="dxa"/>
            <w:tcBorders>
              <w:top w:val="single" w:color="000000" w:sz="4" w:space="0"/>
              <w:left w:val="single" w:color="000000" w:sz="12" w:space="0"/>
              <w:bottom w:val="single" w:color="000000" w:sz="4" w:space="0"/>
              <w:right w:val="single" w:color="000000" w:sz="4" w:space="0"/>
            </w:tcBorders>
            <w:shd w:val="clear" w:color="auto" w:fill="auto"/>
            <w:vAlign w:val="center"/>
          </w:tcPr>
          <w:p>
            <w:pPr>
              <w:pStyle w:val="35"/>
              <w:ind w:firstLine="0" w:firstLineChars="0"/>
              <w:jc w:val="center"/>
              <w:rPr>
                <w:rFonts w:ascii="Times New Roman"/>
                <w:color w:val="000000"/>
                <w:sz w:val="18"/>
                <w:szCs w:val="18"/>
              </w:rPr>
            </w:pPr>
            <w:r>
              <w:rPr>
                <w:rFonts w:hint="default" w:ascii="Times New Roman"/>
                <w:color w:val="000000"/>
                <w:sz w:val="18"/>
                <w:szCs w:val="18"/>
              </w:rPr>
              <w:t>2</w:t>
            </w:r>
          </w:p>
        </w:tc>
        <w:tc>
          <w:tcPr>
            <w:tcW w:w="362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ind w:firstLine="0" w:firstLineChars="0"/>
              <w:jc w:val="center"/>
              <w:rPr>
                <w:color w:val="000000"/>
                <w:sz w:val="18"/>
                <w:szCs w:val="18"/>
              </w:rPr>
            </w:pPr>
            <w:r>
              <w:rPr>
                <w:rFonts w:hint="eastAsia"/>
                <w:color w:val="000000"/>
                <w:sz w:val="18"/>
                <w:szCs w:val="18"/>
              </w:rPr>
              <w:t>热</w:t>
            </w:r>
          </w:p>
        </w:tc>
        <w:tc>
          <w:tcPr>
            <w:tcW w:w="3892" w:type="dxa"/>
            <w:tcBorders>
              <w:top w:val="single" w:color="000000" w:sz="4" w:space="0"/>
              <w:left w:val="single" w:color="000000" w:sz="4" w:space="0"/>
              <w:bottom w:val="single" w:color="000000" w:sz="4" w:space="0"/>
              <w:right w:val="single" w:color="000000" w:sz="12" w:space="0"/>
            </w:tcBorders>
            <w:shd w:val="clear" w:color="auto" w:fill="auto"/>
            <w:vAlign w:val="center"/>
          </w:tcPr>
          <w:p>
            <w:pPr>
              <w:pStyle w:val="35"/>
              <w:ind w:firstLine="0" w:firstLineChars="0"/>
              <w:jc w:val="center"/>
              <w:rPr>
                <w:color w:val="000000"/>
                <w:sz w:val="18"/>
                <w:szCs w:val="18"/>
              </w:rPr>
            </w:pPr>
            <w:r>
              <w:rPr>
                <w:rFonts w:hint="eastAsia"/>
                <w:color w:val="000000"/>
                <w:sz w:val="18"/>
                <w:szCs w:val="18"/>
              </w:rPr>
              <w:t>热空气老化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900" w:type="dxa"/>
            <w:tcBorders>
              <w:top w:val="single" w:color="000000" w:sz="4" w:space="0"/>
              <w:left w:val="single" w:color="000000" w:sz="12" w:space="0"/>
              <w:bottom w:val="single" w:color="000000" w:sz="4" w:space="0"/>
              <w:right w:val="single" w:color="000000" w:sz="4" w:space="0"/>
            </w:tcBorders>
            <w:shd w:val="clear" w:color="auto" w:fill="auto"/>
            <w:vAlign w:val="center"/>
          </w:tcPr>
          <w:p>
            <w:pPr>
              <w:pStyle w:val="35"/>
              <w:ind w:firstLine="0" w:firstLineChars="0"/>
              <w:jc w:val="center"/>
              <w:rPr>
                <w:rFonts w:ascii="Times New Roman"/>
                <w:color w:val="000000"/>
                <w:sz w:val="18"/>
                <w:szCs w:val="18"/>
              </w:rPr>
            </w:pPr>
            <w:r>
              <w:rPr>
                <w:rFonts w:hint="default" w:ascii="Times New Roman"/>
                <w:color w:val="000000"/>
                <w:sz w:val="18"/>
                <w:szCs w:val="18"/>
              </w:rPr>
              <w:t>3</w:t>
            </w:r>
          </w:p>
        </w:tc>
        <w:tc>
          <w:tcPr>
            <w:tcW w:w="362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ind w:firstLine="0" w:firstLineChars="0"/>
              <w:jc w:val="center"/>
              <w:rPr>
                <w:color w:val="000000"/>
                <w:sz w:val="18"/>
                <w:szCs w:val="18"/>
              </w:rPr>
            </w:pPr>
            <w:r>
              <w:rPr>
                <w:rFonts w:hint="eastAsia"/>
                <w:color w:val="000000"/>
                <w:sz w:val="18"/>
                <w:szCs w:val="18"/>
              </w:rPr>
              <w:t>化学腐蚀</w:t>
            </w:r>
          </w:p>
        </w:tc>
        <w:tc>
          <w:tcPr>
            <w:tcW w:w="3892" w:type="dxa"/>
            <w:tcBorders>
              <w:top w:val="single" w:color="000000" w:sz="4" w:space="0"/>
              <w:left w:val="single" w:color="000000" w:sz="4" w:space="0"/>
              <w:bottom w:val="single" w:color="000000" w:sz="4" w:space="0"/>
              <w:right w:val="single" w:color="000000" w:sz="12" w:space="0"/>
            </w:tcBorders>
            <w:shd w:val="clear" w:color="auto" w:fill="auto"/>
            <w:vAlign w:val="center"/>
          </w:tcPr>
          <w:p>
            <w:pPr>
              <w:pStyle w:val="35"/>
              <w:ind w:firstLine="0" w:firstLineChars="0"/>
              <w:jc w:val="center"/>
              <w:rPr>
                <w:color w:val="000000"/>
                <w:sz w:val="18"/>
                <w:szCs w:val="18"/>
              </w:rPr>
            </w:pPr>
            <w:r>
              <w:rPr>
                <w:rFonts w:hint="eastAsia"/>
                <w:color w:val="000000"/>
                <w:sz w:val="18"/>
                <w:szCs w:val="18"/>
              </w:rPr>
              <w:t>耐化学液体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900" w:type="dxa"/>
            <w:tcBorders>
              <w:top w:val="single" w:color="000000" w:sz="4" w:space="0"/>
              <w:left w:val="single" w:color="000000" w:sz="12" w:space="0"/>
              <w:bottom w:val="single" w:color="000000" w:sz="4" w:space="0"/>
              <w:right w:val="single" w:color="000000" w:sz="4" w:space="0"/>
            </w:tcBorders>
            <w:shd w:val="clear" w:color="auto" w:fill="auto"/>
            <w:vAlign w:val="center"/>
          </w:tcPr>
          <w:p>
            <w:pPr>
              <w:pStyle w:val="35"/>
              <w:ind w:firstLine="0" w:firstLineChars="0"/>
              <w:jc w:val="center"/>
              <w:rPr>
                <w:rFonts w:ascii="Times New Roman"/>
                <w:color w:val="000000"/>
                <w:sz w:val="18"/>
                <w:szCs w:val="18"/>
              </w:rPr>
            </w:pPr>
            <w:r>
              <w:rPr>
                <w:rFonts w:hint="default" w:ascii="Times New Roman"/>
                <w:color w:val="000000"/>
                <w:sz w:val="18"/>
                <w:szCs w:val="18"/>
              </w:rPr>
              <w:t>4</w:t>
            </w:r>
          </w:p>
        </w:tc>
        <w:tc>
          <w:tcPr>
            <w:tcW w:w="362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ind w:firstLine="0" w:firstLineChars="0"/>
              <w:jc w:val="center"/>
              <w:rPr>
                <w:color w:val="000000"/>
                <w:sz w:val="18"/>
                <w:szCs w:val="18"/>
              </w:rPr>
            </w:pPr>
            <w:r>
              <w:rPr>
                <w:rFonts w:hint="eastAsia"/>
                <w:color w:val="000000"/>
                <w:sz w:val="18"/>
                <w:szCs w:val="18"/>
              </w:rPr>
              <w:t>基层形变</w:t>
            </w:r>
          </w:p>
        </w:tc>
        <w:tc>
          <w:tcPr>
            <w:tcW w:w="3892" w:type="dxa"/>
            <w:tcBorders>
              <w:top w:val="single" w:color="000000" w:sz="4" w:space="0"/>
              <w:left w:val="single" w:color="000000" w:sz="4" w:space="0"/>
              <w:bottom w:val="single" w:color="000000" w:sz="4" w:space="0"/>
              <w:right w:val="single" w:color="000000" w:sz="12" w:space="0"/>
            </w:tcBorders>
            <w:shd w:val="clear" w:color="auto" w:fill="auto"/>
            <w:vAlign w:val="center"/>
          </w:tcPr>
          <w:p>
            <w:pPr>
              <w:pStyle w:val="35"/>
              <w:ind w:firstLine="0" w:firstLineChars="0"/>
              <w:jc w:val="center"/>
              <w:rPr>
                <w:color w:val="000000"/>
                <w:sz w:val="18"/>
                <w:szCs w:val="18"/>
              </w:rPr>
            </w:pPr>
            <w:r>
              <w:rPr>
                <w:rFonts w:hint="eastAsia"/>
                <w:color w:val="000000"/>
                <w:sz w:val="18"/>
                <w:szCs w:val="18"/>
              </w:rPr>
              <w:t>接缝变形能力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900" w:type="dxa"/>
            <w:tcBorders>
              <w:top w:val="single" w:color="000000" w:sz="4" w:space="0"/>
              <w:left w:val="single" w:color="000000" w:sz="12" w:space="0"/>
              <w:bottom w:val="single" w:color="000000" w:sz="4" w:space="0"/>
              <w:right w:val="single" w:color="000000" w:sz="4" w:space="0"/>
            </w:tcBorders>
            <w:shd w:val="clear" w:color="auto" w:fill="auto"/>
            <w:vAlign w:val="center"/>
          </w:tcPr>
          <w:p>
            <w:pPr>
              <w:pStyle w:val="35"/>
              <w:ind w:firstLine="0" w:firstLineChars="0"/>
              <w:jc w:val="center"/>
              <w:rPr>
                <w:rFonts w:ascii="Times New Roman"/>
                <w:color w:val="000000"/>
                <w:sz w:val="18"/>
                <w:szCs w:val="18"/>
              </w:rPr>
            </w:pPr>
            <w:r>
              <w:rPr>
                <w:rFonts w:hint="default" w:ascii="Times New Roman"/>
                <w:color w:val="000000"/>
                <w:sz w:val="18"/>
                <w:szCs w:val="18"/>
              </w:rPr>
              <w:t>5</w:t>
            </w:r>
          </w:p>
        </w:tc>
        <w:tc>
          <w:tcPr>
            <w:tcW w:w="362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ind w:firstLine="0" w:firstLineChars="0"/>
              <w:jc w:val="center"/>
              <w:rPr>
                <w:color w:val="000000"/>
                <w:sz w:val="18"/>
                <w:szCs w:val="18"/>
              </w:rPr>
            </w:pPr>
            <w:r>
              <w:rPr>
                <w:rFonts w:hint="eastAsia"/>
                <w:color w:val="000000"/>
                <w:sz w:val="18"/>
                <w:szCs w:val="18"/>
              </w:rPr>
              <w:t>荷载</w:t>
            </w:r>
          </w:p>
        </w:tc>
        <w:tc>
          <w:tcPr>
            <w:tcW w:w="3892" w:type="dxa"/>
            <w:tcBorders>
              <w:top w:val="single" w:color="000000" w:sz="4" w:space="0"/>
              <w:left w:val="single" w:color="000000" w:sz="4" w:space="0"/>
              <w:bottom w:val="single" w:color="000000" w:sz="4" w:space="0"/>
              <w:right w:val="single" w:color="000000" w:sz="12" w:space="0"/>
            </w:tcBorders>
            <w:shd w:val="clear" w:color="auto" w:fill="auto"/>
            <w:vAlign w:val="center"/>
          </w:tcPr>
          <w:p>
            <w:pPr>
              <w:pStyle w:val="35"/>
              <w:ind w:firstLine="0" w:firstLineChars="0"/>
              <w:jc w:val="center"/>
              <w:rPr>
                <w:color w:val="000000"/>
                <w:sz w:val="18"/>
                <w:szCs w:val="18"/>
              </w:rPr>
            </w:pPr>
            <w:r>
              <w:rPr>
                <w:rFonts w:hint="eastAsia"/>
                <w:color w:val="000000"/>
                <w:sz w:val="18"/>
                <w:szCs w:val="18"/>
              </w:rPr>
              <w:t>抗冲击性能、抗静态荷载、耐根穿刺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900" w:type="dxa"/>
            <w:tcBorders>
              <w:top w:val="single" w:color="000000" w:sz="4" w:space="0"/>
              <w:left w:val="single" w:color="000000" w:sz="12" w:space="0"/>
              <w:bottom w:val="single" w:color="000000" w:sz="4" w:space="0"/>
              <w:right w:val="single" w:color="000000" w:sz="4" w:space="0"/>
            </w:tcBorders>
            <w:shd w:val="clear" w:color="auto" w:fill="auto"/>
            <w:vAlign w:val="center"/>
          </w:tcPr>
          <w:p>
            <w:pPr>
              <w:pStyle w:val="35"/>
              <w:ind w:firstLine="0" w:firstLineChars="0"/>
              <w:jc w:val="center"/>
              <w:rPr>
                <w:rFonts w:ascii="Times New Roman"/>
                <w:color w:val="000000"/>
                <w:sz w:val="18"/>
                <w:szCs w:val="18"/>
              </w:rPr>
            </w:pPr>
            <w:r>
              <w:rPr>
                <w:rFonts w:hint="default" w:ascii="Times New Roman"/>
                <w:color w:val="000000"/>
                <w:sz w:val="18"/>
                <w:szCs w:val="18"/>
              </w:rPr>
              <w:t>6</w:t>
            </w:r>
          </w:p>
        </w:tc>
        <w:tc>
          <w:tcPr>
            <w:tcW w:w="362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ind w:firstLine="0" w:firstLineChars="0"/>
              <w:jc w:val="center"/>
              <w:rPr>
                <w:color w:val="000000"/>
                <w:sz w:val="18"/>
                <w:szCs w:val="18"/>
              </w:rPr>
            </w:pPr>
            <w:r>
              <w:rPr>
                <w:rFonts w:hint="eastAsia"/>
                <w:color w:val="000000"/>
                <w:sz w:val="18"/>
                <w:szCs w:val="18"/>
              </w:rPr>
              <w:t>微生物</w:t>
            </w:r>
          </w:p>
        </w:tc>
        <w:tc>
          <w:tcPr>
            <w:tcW w:w="3892" w:type="dxa"/>
            <w:tcBorders>
              <w:top w:val="single" w:color="000000" w:sz="4" w:space="0"/>
              <w:left w:val="single" w:color="000000" w:sz="4" w:space="0"/>
              <w:bottom w:val="single" w:color="000000" w:sz="4" w:space="0"/>
              <w:right w:val="single" w:color="000000" w:sz="12" w:space="0"/>
            </w:tcBorders>
            <w:shd w:val="clear" w:color="auto" w:fill="auto"/>
            <w:vAlign w:val="center"/>
          </w:tcPr>
          <w:p>
            <w:pPr>
              <w:pStyle w:val="35"/>
              <w:ind w:firstLine="0" w:firstLineChars="0"/>
              <w:jc w:val="center"/>
              <w:rPr>
                <w:color w:val="000000"/>
                <w:sz w:val="18"/>
                <w:szCs w:val="18"/>
              </w:rPr>
            </w:pPr>
            <w:r>
              <w:rPr>
                <w:rFonts w:hint="eastAsia"/>
                <w:color w:val="000000"/>
                <w:sz w:val="18"/>
                <w:szCs w:val="18"/>
              </w:rPr>
              <w:t>耐霉菌性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900" w:type="dxa"/>
            <w:tcBorders>
              <w:top w:val="single" w:color="000000" w:sz="4" w:space="0"/>
              <w:left w:val="single" w:color="000000" w:sz="12" w:space="0"/>
              <w:bottom w:val="single" w:color="000000" w:sz="4" w:space="0"/>
              <w:right w:val="single" w:color="000000" w:sz="4" w:space="0"/>
            </w:tcBorders>
            <w:shd w:val="clear" w:color="auto" w:fill="auto"/>
            <w:vAlign w:val="center"/>
          </w:tcPr>
          <w:p>
            <w:pPr>
              <w:pStyle w:val="35"/>
              <w:ind w:firstLine="0" w:firstLineChars="0"/>
              <w:jc w:val="center"/>
              <w:rPr>
                <w:rFonts w:ascii="Times New Roman"/>
                <w:color w:val="000000"/>
                <w:sz w:val="18"/>
                <w:szCs w:val="18"/>
              </w:rPr>
            </w:pPr>
            <w:r>
              <w:rPr>
                <w:rFonts w:hint="default" w:ascii="Times New Roman"/>
                <w:color w:val="000000"/>
                <w:sz w:val="18"/>
                <w:szCs w:val="18"/>
              </w:rPr>
              <w:t>7</w:t>
            </w:r>
          </w:p>
        </w:tc>
        <w:tc>
          <w:tcPr>
            <w:tcW w:w="362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ind w:firstLine="0" w:firstLineChars="0"/>
              <w:jc w:val="center"/>
              <w:rPr>
                <w:color w:val="000000"/>
                <w:sz w:val="18"/>
                <w:szCs w:val="18"/>
              </w:rPr>
            </w:pPr>
            <w:r>
              <w:rPr>
                <w:rFonts w:hint="eastAsia"/>
                <w:color w:val="000000"/>
                <w:sz w:val="18"/>
                <w:szCs w:val="18"/>
              </w:rPr>
              <w:t>长期浸水</w:t>
            </w:r>
          </w:p>
        </w:tc>
        <w:tc>
          <w:tcPr>
            <w:tcW w:w="3892" w:type="dxa"/>
            <w:tcBorders>
              <w:top w:val="single" w:color="000000" w:sz="4" w:space="0"/>
              <w:left w:val="single" w:color="000000" w:sz="4" w:space="0"/>
              <w:bottom w:val="single" w:color="000000" w:sz="4" w:space="0"/>
              <w:right w:val="single" w:color="000000" w:sz="12" w:space="0"/>
            </w:tcBorders>
            <w:shd w:val="clear" w:color="auto" w:fill="auto"/>
            <w:vAlign w:val="center"/>
          </w:tcPr>
          <w:p>
            <w:pPr>
              <w:pStyle w:val="35"/>
              <w:ind w:firstLine="0" w:firstLineChars="0"/>
              <w:jc w:val="center"/>
              <w:rPr>
                <w:color w:val="000000"/>
                <w:sz w:val="18"/>
                <w:szCs w:val="18"/>
              </w:rPr>
            </w:pPr>
            <w:r>
              <w:rPr>
                <w:rFonts w:hint="eastAsia"/>
                <w:color w:val="000000"/>
                <w:sz w:val="18"/>
                <w:szCs w:val="18"/>
              </w:rPr>
              <w:t>耐水性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900" w:type="dxa"/>
            <w:tcBorders>
              <w:top w:val="single" w:color="000000" w:sz="4" w:space="0"/>
              <w:left w:val="single" w:color="000000" w:sz="12" w:space="0"/>
              <w:bottom w:val="single" w:color="000000" w:sz="4" w:space="0"/>
              <w:right w:val="single" w:color="000000" w:sz="4" w:space="0"/>
            </w:tcBorders>
            <w:shd w:val="clear" w:color="auto" w:fill="auto"/>
            <w:vAlign w:val="center"/>
          </w:tcPr>
          <w:p>
            <w:pPr>
              <w:pStyle w:val="35"/>
              <w:ind w:firstLine="0" w:firstLineChars="0"/>
              <w:jc w:val="center"/>
              <w:rPr>
                <w:rFonts w:ascii="Times New Roman"/>
                <w:color w:val="000000"/>
                <w:sz w:val="18"/>
                <w:szCs w:val="18"/>
              </w:rPr>
            </w:pPr>
            <w:r>
              <w:rPr>
                <w:rFonts w:hint="default" w:ascii="Times New Roman"/>
                <w:color w:val="000000"/>
                <w:sz w:val="18"/>
                <w:szCs w:val="18"/>
              </w:rPr>
              <w:t>8</w:t>
            </w:r>
          </w:p>
        </w:tc>
        <w:tc>
          <w:tcPr>
            <w:tcW w:w="362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ind w:firstLine="0" w:firstLineChars="0"/>
              <w:jc w:val="center"/>
              <w:rPr>
                <w:color w:val="000000"/>
                <w:sz w:val="18"/>
                <w:szCs w:val="18"/>
              </w:rPr>
            </w:pPr>
            <w:r>
              <w:rPr>
                <w:rFonts w:hint="eastAsia"/>
                <w:color w:val="000000"/>
                <w:sz w:val="18"/>
                <w:szCs w:val="18"/>
              </w:rPr>
              <w:t>极限低温条件</w:t>
            </w:r>
          </w:p>
        </w:tc>
        <w:tc>
          <w:tcPr>
            <w:tcW w:w="3892" w:type="dxa"/>
            <w:tcBorders>
              <w:top w:val="single" w:color="000000" w:sz="4" w:space="0"/>
              <w:left w:val="single" w:color="000000" w:sz="4" w:space="0"/>
              <w:bottom w:val="single" w:color="000000" w:sz="4" w:space="0"/>
              <w:right w:val="single" w:color="000000" w:sz="12" w:space="0"/>
            </w:tcBorders>
            <w:shd w:val="clear" w:color="auto" w:fill="auto"/>
            <w:vAlign w:val="center"/>
          </w:tcPr>
          <w:p>
            <w:pPr>
              <w:pStyle w:val="35"/>
              <w:ind w:firstLine="0" w:firstLineChars="0"/>
              <w:jc w:val="center"/>
              <w:rPr>
                <w:color w:val="000000"/>
                <w:sz w:val="18"/>
                <w:szCs w:val="18"/>
              </w:rPr>
            </w:pPr>
            <w:r>
              <w:rPr>
                <w:rFonts w:hint="eastAsia"/>
                <w:color w:val="000000"/>
                <w:sz w:val="18"/>
                <w:szCs w:val="18"/>
              </w:rPr>
              <w:t>低温下抗冲击性能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900" w:type="dxa"/>
            <w:tcBorders>
              <w:top w:val="single" w:color="000000" w:sz="4" w:space="0"/>
              <w:left w:val="single" w:color="000000" w:sz="12" w:space="0"/>
              <w:bottom w:val="single" w:color="000000" w:sz="12" w:space="0"/>
              <w:right w:val="single" w:color="000000" w:sz="4" w:space="0"/>
            </w:tcBorders>
            <w:shd w:val="clear" w:color="auto" w:fill="auto"/>
            <w:vAlign w:val="center"/>
          </w:tcPr>
          <w:p>
            <w:pPr>
              <w:pStyle w:val="35"/>
              <w:ind w:firstLine="0" w:firstLineChars="0"/>
              <w:jc w:val="center"/>
              <w:rPr>
                <w:rFonts w:ascii="Times New Roman"/>
                <w:color w:val="000000"/>
                <w:sz w:val="18"/>
                <w:szCs w:val="18"/>
              </w:rPr>
            </w:pPr>
            <w:r>
              <w:rPr>
                <w:rFonts w:hint="default" w:ascii="Times New Roman"/>
                <w:color w:val="000000"/>
                <w:sz w:val="18"/>
                <w:szCs w:val="18"/>
              </w:rPr>
              <w:t>9</w:t>
            </w:r>
          </w:p>
        </w:tc>
        <w:tc>
          <w:tcPr>
            <w:tcW w:w="3622" w:type="dxa"/>
            <w:tcBorders>
              <w:top w:val="single" w:color="000000" w:sz="4" w:space="0"/>
              <w:left w:val="single" w:color="000000" w:sz="4" w:space="0"/>
              <w:bottom w:val="single" w:color="000000" w:sz="12" w:space="0"/>
              <w:right w:val="single" w:color="000000" w:sz="4" w:space="0"/>
            </w:tcBorders>
            <w:shd w:val="clear" w:color="auto" w:fill="auto"/>
            <w:vAlign w:val="center"/>
          </w:tcPr>
          <w:p>
            <w:pPr>
              <w:pStyle w:val="35"/>
              <w:ind w:firstLine="0" w:firstLineChars="0"/>
              <w:jc w:val="center"/>
              <w:rPr>
                <w:color w:val="000000"/>
                <w:sz w:val="18"/>
                <w:szCs w:val="18"/>
              </w:rPr>
            </w:pPr>
            <w:r>
              <w:rPr>
                <w:rFonts w:hint="eastAsia"/>
                <w:color w:val="000000"/>
                <w:sz w:val="18"/>
                <w:szCs w:val="18"/>
              </w:rPr>
              <w:t>极限高温条件</w:t>
            </w:r>
          </w:p>
        </w:tc>
        <w:tc>
          <w:tcPr>
            <w:tcW w:w="3892" w:type="dxa"/>
            <w:tcBorders>
              <w:top w:val="single" w:color="000000" w:sz="4" w:space="0"/>
              <w:left w:val="single" w:color="000000" w:sz="4" w:space="0"/>
              <w:bottom w:val="single" w:color="000000" w:sz="12" w:space="0"/>
              <w:right w:val="single" w:color="000000" w:sz="12" w:space="0"/>
            </w:tcBorders>
            <w:shd w:val="clear" w:color="auto" w:fill="auto"/>
            <w:vAlign w:val="center"/>
          </w:tcPr>
          <w:p>
            <w:pPr>
              <w:pStyle w:val="35"/>
              <w:ind w:firstLine="0" w:firstLineChars="0"/>
              <w:jc w:val="center"/>
              <w:rPr>
                <w:color w:val="000000"/>
                <w:sz w:val="18"/>
                <w:szCs w:val="18"/>
              </w:rPr>
            </w:pPr>
            <w:r>
              <w:rPr>
                <w:rFonts w:hint="eastAsia"/>
                <w:color w:val="000000"/>
                <w:sz w:val="18"/>
                <w:szCs w:val="18"/>
              </w:rPr>
              <w:t>高温下抗静态荷载</w:t>
            </w:r>
          </w:p>
        </w:tc>
      </w:tr>
    </w:tbl>
    <w:p>
      <w:pPr>
        <w:spacing w:line="440" w:lineRule="exact"/>
        <w:ind w:firstLine="431" w:firstLineChars="196"/>
        <w:rPr>
          <w:rFonts w:hint="eastAsia"/>
          <w:sz w:val="22"/>
          <w:szCs w:val="22"/>
        </w:rPr>
      </w:pPr>
      <w:r>
        <w:rPr>
          <w:rFonts w:hint="eastAsia"/>
          <w:sz w:val="22"/>
          <w:szCs w:val="22"/>
        </w:rPr>
        <w:t>根据设计工作年限的不同和之前划定的各因素分类及多个因素的相互综合，提出耐久性试验方法和试验条件</w:t>
      </w:r>
      <w:r>
        <w:rPr>
          <w:rFonts w:hint="eastAsia"/>
          <w:sz w:val="22"/>
          <w:szCs w:val="22"/>
          <w:lang w:eastAsia="zh-CN"/>
        </w:rPr>
        <w:t>，</w:t>
      </w:r>
      <w:r>
        <w:rPr>
          <w:rFonts w:hint="eastAsia"/>
          <w:sz w:val="22"/>
          <w:szCs w:val="22"/>
          <w:lang w:val="en-US" w:eastAsia="zh-CN"/>
        </w:rPr>
        <w:t>包含人工气候加速老化评价、</w:t>
      </w:r>
      <w:r>
        <w:rPr>
          <w:rFonts w:hint="eastAsia" w:ascii="Times New Roman" w:eastAsia="宋体"/>
          <w:kern w:val="2"/>
          <w:sz w:val="22"/>
          <w:szCs w:val="22"/>
        </w:rPr>
        <w:t>氙弧灯暴露试验</w:t>
      </w:r>
      <w:r>
        <w:rPr>
          <w:rFonts w:hint="eastAsia"/>
          <w:kern w:val="2"/>
          <w:sz w:val="22"/>
          <w:szCs w:val="22"/>
          <w:lang w:eastAsia="zh-CN"/>
        </w:rPr>
        <w:t>、</w:t>
      </w:r>
      <w:r>
        <w:rPr>
          <w:rFonts w:hint="eastAsia"/>
          <w:sz w:val="22"/>
          <w:szCs w:val="22"/>
        </w:rPr>
        <w:t>热空气老化评价</w:t>
      </w:r>
      <w:r>
        <w:rPr>
          <w:rFonts w:hint="eastAsia"/>
          <w:sz w:val="22"/>
          <w:szCs w:val="22"/>
          <w:lang w:eastAsia="zh-CN"/>
        </w:rPr>
        <w:t>等</w:t>
      </w:r>
      <w:r>
        <w:rPr>
          <w:rFonts w:hint="eastAsia"/>
          <w:sz w:val="22"/>
          <w:szCs w:val="22"/>
        </w:rPr>
        <w:t>。</w:t>
      </w:r>
    </w:p>
    <w:p>
      <w:pPr>
        <w:spacing w:line="360" w:lineRule="auto"/>
        <w:jc w:val="center"/>
      </w:pPr>
      <w:r>
        <w:rPr>
          <w:rFonts w:hint="eastAsia"/>
        </w:rPr>
        <w:tab/>
      </w:r>
      <w:r>
        <w:rPr>
          <w:rFonts w:hint="eastAsia"/>
          <w:b/>
          <w:bCs/>
        </w:rPr>
        <w:t>人工气候加速老化评价条件及试验方法</w:t>
      </w:r>
    </w:p>
    <w:tbl>
      <w:tblPr>
        <w:tblStyle w:val="24"/>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136"/>
        <w:gridCol w:w="1376"/>
        <w:gridCol w:w="2011"/>
        <w:gridCol w:w="399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2" w:hRule="atLeast"/>
          <w:jc w:val="center"/>
        </w:trPr>
        <w:tc>
          <w:tcPr>
            <w:tcW w:w="2514" w:type="dxa"/>
            <w:gridSpan w:val="2"/>
            <w:tcBorders>
              <w:tl2br w:val="nil"/>
              <w:tr2bl w:val="nil"/>
            </w:tcBorders>
            <w:shd w:val="clear" w:color="auto" w:fill="auto"/>
            <w:vAlign w:val="center"/>
          </w:tcPr>
          <w:p>
            <w:pPr>
              <w:pStyle w:val="35"/>
              <w:adjustRightInd w:val="0"/>
              <w:ind w:firstLine="0" w:firstLineChars="0"/>
              <w:jc w:val="center"/>
              <w:rPr>
                <w:b/>
                <w:bCs/>
                <w:sz w:val="20"/>
                <w:szCs w:val="20"/>
              </w:rPr>
            </w:pPr>
            <w:r>
              <w:rPr>
                <w:rFonts w:hint="eastAsia"/>
                <w:b/>
                <w:bCs/>
                <w:sz w:val="20"/>
                <w:szCs w:val="20"/>
              </w:rPr>
              <w:t>使用场合</w:t>
            </w:r>
          </w:p>
        </w:tc>
        <w:tc>
          <w:tcPr>
            <w:tcW w:w="2012" w:type="dxa"/>
            <w:tcBorders>
              <w:tl2br w:val="nil"/>
              <w:tr2bl w:val="nil"/>
            </w:tcBorders>
            <w:shd w:val="clear" w:color="auto" w:fill="auto"/>
            <w:vAlign w:val="center"/>
          </w:tcPr>
          <w:p>
            <w:pPr>
              <w:pStyle w:val="35"/>
              <w:adjustRightInd w:val="0"/>
              <w:ind w:firstLine="0" w:firstLineChars="0"/>
              <w:jc w:val="center"/>
              <w:rPr>
                <w:b/>
                <w:bCs/>
                <w:sz w:val="20"/>
                <w:szCs w:val="20"/>
              </w:rPr>
            </w:pPr>
            <w:r>
              <w:rPr>
                <w:rFonts w:hint="eastAsia"/>
                <w:b/>
                <w:bCs/>
                <w:sz w:val="20"/>
                <w:szCs w:val="20"/>
              </w:rPr>
              <w:t>评价条件：</w:t>
            </w:r>
            <w:r>
              <w:rPr>
                <w:rFonts w:hint="eastAsia"/>
                <w:b/>
                <w:bCs/>
                <w:color w:val="000000"/>
                <w:sz w:val="20"/>
                <w:szCs w:val="20"/>
              </w:rPr>
              <w:t>340 nm波长处的累计辐照能量/ kJ/(m</w:t>
            </w:r>
            <w:r>
              <w:rPr>
                <w:rFonts w:hint="eastAsia"/>
                <w:b/>
                <w:bCs/>
                <w:color w:val="000000"/>
                <w:sz w:val="20"/>
                <w:szCs w:val="20"/>
                <w:vertAlign w:val="superscript"/>
              </w:rPr>
              <w:t>2</w:t>
            </w:r>
            <w:r>
              <w:rPr>
                <w:rFonts w:hint="eastAsia"/>
                <w:b/>
                <w:bCs/>
                <w:color w:val="000000"/>
                <w:sz w:val="20"/>
                <w:szCs w:val="20"/>
              </w:rPr>
              <w:t>·nm)</w:t>
            </w:r>
          </w:p>
        </w:tc>
        <w:tc>
          <w:tcPr>
            <w:tcW w:w="3996" w:type="dxa"/>
            <w:tcBorders>
              <w:tl2br w:val="nil"/>
              <w:tr2bl w:val="nil"/>
            </w:tcBorders>
            <w:shd w:val="clear" w:color="auto" w:fill="auto"/>
            <w:vAlign w:val="center"/>
          </w:tcPr>
          <w:p>
            <w:pPr>
              <w:pStyle w:val="35"/>
              <w:adjustRightInd w:val="0"/>
              <w:ind w:firstLine="0" w:firstLineChars="0"/>
              <w:jc w:val="center"/>
              <w:rPr>
                <w:b/>
                <w:bCs/>
                <w:sz w:val="20"/>
                <w:szCs w:val="20"/>
              </w:rPr>
            </w:pPr>
            <w:r>
              <w:rPr>
                <w:rFonts w:hint="eastAsia"/>
                <w:b/>
                <w:bCs/>
                <w:sz w:val="20"/>
                <w:szCs w:val="20"/>
              </w:rPr>
              <w:t>试验方法</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3" w:hRule="atLeast"/>
          <w:jc w:val="center"/>
        </w:trPr>
        <w:tc>
          <w:tcPr>
            <w:tcW w:w="1137" w:type="dxa"/>
            <w:vMerge w:val="restart"/>
            <w:tcBorders>
              <w:tl2br w:val="nil"/>
              <w:tr2bl w:val="nil"/>
            </w:tcBorders>
            <w:shd w:val="clear" w:color="auto" w:fill="auto"/>
            <w:vAlign w:val="center"/>
          </w:tcPr>
          <w:p>
            <w:pPr>
              <w:pStyle w:val="35"/>
              <w:adjustRightInd w:val="0"/>
              <w:ind w:firstLine="0" w:firstLineChars="0"/>
              <w:jc w:val="center"/>
              <w:rPr>
                <w:rFonts w:ascii="Times New Roman"/>
                <w:sz w:val="18"/>
                <w:szCs w:val="18"/>
              </w:rPr>
            </w:pPr>
            <w:r>
              <w:rPr>
                <w:rFonts w:hint="default" w:ascii="Times New Roman"/>
                <w:sz w:val="18"/>
                <w:szCs w:val="18"/>
              </w:rPr>
              <w:t>屋面R</w:t>
            </w:r>
          </w:p>
          <w:p>
            <w:pPr>
              <w:pStyle w:val="35"/>
              <w:adjustRightInd w:val="0"/>
              <w:ind w:firstLine="360"/>
              <w:rPr>
                <w:rFonts w:ascii="Times New Roman"/>
                <w:sz w:val="18"/>
                <w:szCs w:val="18"/>
              </w:rPr>
            </w:pPr>
            <w:r>
              <w:rPr>
                <w:rFonts w:hint="default" w:ascii="Times New Roman"/>
                <w:sz w:val="18"/>
                <w:szCs w:val="18"/>
              </w:rPr>
              <w:t>外墙W</w:t>
            </w:r>
          </w:p>
        </w:tc>
        <w:tc>
          <w:tcPr>
            <w:tcW w:w="1377" w:type="dxa"/>
            <w:tcBorders>
              <w:tl2br w:val="nil"/>
              <w:tr2bl w:val="nil"/>
            </w:tcBorders>
            <w:shd w:val="clear" w:color="auto" w:fill="auto"/>
            <w:vAlign w:val="center"/>
          </w:tcPr>
          <w:p>
            <w:pPr>
              <w:pStyle w:val="35"/>
              <w:adjustRightInd w:val="0"/>
              <w:ind w:firstLine="0" w:firstLineChars="0"/>
              <w:jc w:val="center"/>
              <w:rPr>
                <w:rFonts w:ascii="Times New Roman"/>
                <w:sz w:val="18"/>
                <w:szCs w:val="18"/>
              </w:rPr>
            </w:pPr>
            <w:r>
              <w:rPr>
                <w:rFonts w:hint="default" w:ascii="Times New Roman"/>
                <w:sz w:val="18"/>
                <w:szCs w:val="18"/>
              </w:rPr>
              <w:t>A1和Y</w:t>
            </w:r>
          </w:p>
        </w:tc>
        <w:tc>
          <w:tcPr>
            <w:tcW w:w="2012" w:type="dxa"/>
            <w:tcBorders>
              <w:tl2br w:val="nil"/>
              <w:tr2bl w:val="nil"/>
            </w:tcBorders>
            <w:shd w:val="clear" w:color="auto" w:fill="auto"/>
            <w:vAlign w:val="center"/>
          </w:tcPr>
          <w:p>
            <w:pPr>
              <w:pStyle w:val="35"/>
              <w:adjustRightInd w:val="0"/>
              <w:ind w:firstLine="0" w:firstLineChars="0"/>
              <w:jc w:val="center"/>
              <w:rPr>
                <w:rFonts w:ascii="Times New Roman"/>
                <w:sz w:val="18"/>
                <w:szCs w:val="18"/>
              </w:rPr>
            </w:pPr>
            <w:r>
              <w:rPr>
                <w:rFonts w:hint="default" w:ascii="Times New Roman"/>
                <w:sz w:val="18"/>
                <w:szCs w:val="18"/>
              </w:rPr>
              <w:t>5040（约2745h）</w:t>
            </w:r>
          </w:p>
        </w:tc>
        <w:tc>
          <w:tcPr>
            <w:tcW w:w="3996" w:type="dxa"/>
            <w:vMerge w:val="restart"/>
            <w:tcBorders>
              <w:tl2br w:val="nil"/>
              <w:tr2bl w:val="nil"/>
            </w:tcBorders>
            <w:shd w:val="clear" w:color="auto" w:fill="auto"/>
            <w:vAlign w:val="center"/>
          </w:tcPr>
          <w:p>
            <w:pPr>
              <w:pStyle w:val="35"/>
              <w:adjustRightInd w:val="0"/>
              <w:ind w:firstLine="0" w:firstLineChars="0"/>
              <w:jc w:val="center"/>
              <w:rPr>
                <w:rFonts w:ascii="Times New Roman"/>
                <w:sz w:val="18"/>
                <w:szCs w:val="18"/>
              </w:rPr>
            </w:pPr>
            <w:r>
              <w:rPr>
                <w:rFonts w:hint="default" w:ascii="Times New Roman"/>
                <w:sz w:val="18"/>
                <w:szCs w:val="18"/>
              </w:rPr>
              <w:t>按GB/T 16422.2，</w:t>
            </w:r>
          </w:p>
          <w:p>
            <w:pPr>
              <w:pStyle w:val="35"/>
              <w:adjustRightInd w:val="0"/>
              <w:ind w:firstLine="0" w:firstLineChars="0"/>
              <w:jc w:val="center"/>
              <w:rPr>
                <w:rFonts w:ascii="Times New Roman"/>
                <w:sz w:val="18"/>
                <w:szCs w:val="18"/>
              </w:rPr>
            </w:pPr>
            <w:r>
              <w:rPr>
                <w:rFonts w:hint="default" w:ascii="Times New Roman"/>
                <w:sz w:val="18"/>
                <w:szCs w:val="18"/>
              </w:rPr>
              <w:t>暴露周期：102min干燥，18min喷淋</w:t>
            </w:r>
          </w:p>
          <w:p>
            <w:pPr>
              <w:pStyle w:val="35"/>
              <w:adjustRightInd w:val="0"/>
              <w:ind w:firstLine="0" w:firstLineChars="0"/>
              <w:jc w:val="center"/>
              <w:rPr>
                <w:rFonts w:ascii="Times New Roman"/>
                <w:sz w:val="18"/>
                <w:szCs w:val="18"/>
              </w:rPr>
            </w:pPr>
            <w:r>
              <w:rPr>
                <w:rFonts w:hint="default" w:ascii="Times New Roman"/>
                <w:sz w:val="18"/>
                <w:szCs w:val="18"/>
              </w:rPr>
              <w:t>辐照度：窄带（340nm）0.51±0.02W/(m</w:t>
            </w:r>
            <w:r>
              <w:rPr>
                <w:rFonts w:hint="default" w:ascii="Times New Roman"/>
                <w:sz w:val="18"/>
                <w:szCs w:val="18"/>
                <w:vertAlign w:val="superscript"/>
              </w:rPr>
              <w:t>2</w:t>
            </w:r>
            <w:r>
              <w:rPr>
                <w:rFonts w:hint="default" w:ascii="Times New Roman" w:hAnsi="Times New Roman" w:eastAsia="DFKai-SB"/>
                <w:sz w:val="18"/>
                <w:szCs w:val="18"/>
              </w:rPr>
              <w:t>‧</w:t>
            </w:r>
            <w:r>
              <w:rPr>
                <w:rFonts w:hint="default" w:ascii="Times New Roman"/>
                <w:sz w:val="18"/>
                <w:szCs w:val="18"/>
              </w:rPr>
              <w:t>nm)</w:t>
            </w:r>
          </w:p>
          <w:p>
            <w:pPr>
              <w:pStyle w:val="35"/>
              <w:adjustRightInd w:val="0"/>
              <w:ind w:firstLine="0" w:firstLineChars="0"/>
              <w:jc w:val="center"/>
              <w:rPr>
                <w:rFonts w:ascii="Times New Roman"/>
                <w:sz w:val="18"/>
                <w:szCs w:val="18"/>
              </w:rPr>
            </w:pPr>
            <w:r>
              <w:rPr>
                <w:rFonts w:hint="default" w:ascii="Times New Roman"/>
                <w:sz w:val="18"/>
                <w:szCs w:val="18"/>
              </w:rPr>
              <w:t>宽带（300nm</w:t>
            </w:r>
            <w:r>
              <w:rPr>
                <w:rFonts w:hint="default" w:ascii="Times New Roman" w:hAnsi="Times New Roman" w:eastAsia="DFKai-SB"/>
                <w:sz w:val="18"/>
                <w:szCs w:val="18"/>
              </w:rPr>
              <w:t>~</w:t>
            </w:r>
            <w:r>
              <w:rPr>
                <w:rFonts w:hint="default" w:ascii="Times New Roman"/>
                <w:sz w:val="18"/>
                <w:szCs w:val="18"/>
              </w:rPr>
              <w:t>400nm）60±2W/m</w:t>
            </w:r>
            <w:r>
              <w:rPr>
                <w:rFonts w:hint="default" w:ascii="Times New Roman"/>
                <w:sz w:val="18"/>
                <w:szCs w:val="18"/>
                <w:vertAlign w:val="superscript"/>
              </w:rPr>
              <w:t>2</w:t>
            </w:r>
          </w:p>
          <w:p>
            <w:pPr>
              <w:pStyle w:val="35"/>
              <w:adjustRightInd w:val="0"/>
              <w:ind w:firstLine="0" w:firstLineChars="0"/>
              <w:jc w:val="center"/>
              <w:rPr>
                <w:rFonts w:ascii="Times New Roman"/>
                <w:sz w:val="18"/>
                <w:szCs w:val="18"/>
              </w:rPr>
            </w:pPr>
            <w:r>
              <w:rPr>
                <w:rFonts w:hint="default" w:ascii="Times New Roman"/>
                <w:sz w:val="18"/>
                <w:szCs w:val="18"/>
              </w:rPr>
              <w:t>黑标温度：65±3℃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3" w:hRule="atLeast"/>
          <w:jc w:val="center"/>
        </w:trPr>
        <w:tc>
          <w:tcPr>
            <w:tcW w:w="1137" w:type="dxa"/>
            <w:vMerge w:val="continue"/>
            <w:tcBorders>
              <w:tl2br w:val="nil"/>
              <w:tr2bl w:val="nil"/>
            </w:tcBorders>
            <w:shd w:val="clear" w:color="auto" w:fill="auto"/>
            <w:vAlign w:val="center"/>
          </w:tcPr>
          <w:p>
            <w:pPr>
              <w:pStyle w:val="35"/>
              <w:adjustRightInd w:val="0"/>
              <w:ind w:firstLine="0" w:firstLineChars="0"/>
              <w:jc w:val="center"/>
              <w:rPr>
                <w:sz w:val="18"/>
                <w:szCs w:val="18"/>
              </w:rPr>
            </w:pPr>
          </w:p>
        </w:tc>
        <w:tc>
          <w:tcPr>
            <w:tcW w:w="1377" w:type="dxa"/>
            <w:tcBorders>
              <w:tl2br w:val="nil"/>
              <w:tr2bl w:val="nil"/>
            </w:tcBorders>
            <w:shd w:val="clear" w:color="auto" w:fill="auto"/>
            <w:vAlign w:val="center"/>
          </w:tcPr>
          <w:p>
            <w:pPr>
              <w:pStyle w:val="35"/>
              <w:adjustRightInd w:val="0"/>
              <w:ind w:firstLine="0" w:firstLineChars="0"/>
              <w:jc w:val="center"/>
              <w:rPr>
                <w:rFonts w:ascii="Times New Roman"/>
                <w:sz w:val="18"/>
                <w:szCs w:val="18"/>
              </w:rPr>
            </w:pPr>
            <w:r>
              <w:rPr>
                <w:rFonts w:hint="default" w:ascii="Times New Roman"/>
                <w:sz w:val="18"/>
                <w:szCs w:val="18"/>
              </w:rPr>
              <w:t>A2和Y</w:t>
            </w:r>
          </w:p>
        </w:tc>
        <w:tc>
          <w:tcPr>
            <w:tcW w:w="2012" w:type="dxa"/>
            <w:tcBorders>
              <w:tl2br w:val="nil"/>
              <w:tr2bl w:val="nil"/>
            </w:tcBorders>
            <w:shd w:val="clear" w:color="auto" w:fill="auto"/>
            <w:vAlign w:val="center"/>
          </w:tcPr>
          <w:p>
            <w:pPr>
              <w:pStyle w:val="35"/>
              <w:adjustRightInd w:val="0"/>
              <w:ind w:firstLine="0" w:firstLineChars="0"/>
              <w:jc w:val="center"/>
              <w:rPr>
                <w:rFonts w:ascii="Times New Roman"/>
                <w:sz w:val="18"/>
                <w:szCs w:val="18"/>
              </w:rPr>
            </w:pPr>
            <w:r>
              <w:rPr>
                <w:rFonts w:hint="default" w:ascii="Times New Roman"/>
                <w:sz w:val="18"/>
                <w:szCs w:val="18"/>
              </w:rPr>
              <w:t>10080（约5490h）</w:t>
            </w:r>
          </w:p>
        </w:tc>
        <w:tc>
          <w:tcPr>
            <w:tcW w:w="3996" w:type="dxa"/>
            <w:vMerge w:val="continue"/>
            <w:tcBorders>
              <w:tl2br w:val="nil"/>
              <w:tr2bl w:val="nil"/>
            </w:tcBorders>
            <w:shd w:val="clear" w:color="auto" w:fill="auto"/>
            <w:vAlign w:val="center"/>
          </w:tcPr>
          <w:p>
            <w:pPr>
              <w:pStyle w:val="35"/>
              <w:adjustRightInd w:val="0"/>
              <w:ind w:firstLine="0" w:firstLineChars="0"/>
              <w:jc w:val="center"/>
              <w:rPr>
                <w:sz w:val="18"/>
                <w:szCs w:val="18"/>
              </w:rPr>
            </w:pPr>
          </w:p>
        </w:tc>
      </w:tr>
    </w:tbl>
    <w:p>
      <w:pPr>
        <w:spacing w:line="360" w:lineRule="auto"/>
        <w:jc w:val="center"/>
        <w:rPr>
          <w:rFonts w:ascii="Times New Roman" w:eastAsia="宋体"/>
          <w:b/>
          <w:bCs/>
          <w:kern w:val="2"/>
          <w:szCs w:val="24"/>
        </w:rPr>
      </w:pPr>
      <w:r>
        <w:rPr>
          <w:rFonts w:hint="eastAsia" w:ascii="Times New Roman" w:eastAsia="宋体"/>
          <w:b/>
          <w:bCs/>
          <w:kern w:val="2"/>
          <w:szCs w:val="24"/>
        </w:rPr>
        <w:t>使用日光滤光器的氙弧灯暴露试验条件</w:t>
      </w:r>
    </w:p>
    <w:tbl>
      <w:tblPr>
        <w:tblStyle w:val="24"/>
        <w:tblW w:w="517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262"/>
        <w:gridCol w:w="1757"/>
        <w:gridCol w:w="1665"/>
        <w:gridCol w:w="884"/>
        <w:gridCol w:w="958"/>
        <w:gridCol w:w="958"/>
        <w:gridCol w:w="11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698" w:hRule="atLeast"/>
          <w:jc w:val="center"/>
        </w:trPr>
        <w:tc>
          <w:tcPr>
            <w:tcW w:w="732" w:type="pct"/>
            <w:vMerge w:val="restart"/>
            <w:tcBorders>
              <w:tl2br w:val="nil"/>
              <w:tr2bl w:val="nil"/>
            </w:tcBorders>
            <w:shd w:val="clear" w:color="auto" w:fill="auto"/>
            <w:vAlign w:val="center"/>
          </w:tcPr>
          <w:p>
            <w:pPr>
              <w:topLinePunct/>
              <w:spacing w:line="280" w:lineRule="exact"/>
              <w:jc w:val="center"/>
              <w:rPr>
                <w:rFonts w:ascii="MS Gothic"/>
                <w:b/>
                <w:bCs/>
                <w:kern w:val="0"/>
                <w:sz w:val="20"/>
                <w:szCs w:val="20"/>
              </w:rPr>
            </w:pPr>
            <w:r>
              <w:rPr>
                <w:rFonts w:hint="eastAsia" w:ascii="宋体" w:cs="宋体"/>
                <w:b/>
                <w:bCs/>
                <w:kern w:val="0"/>
                <w:sz w:val="20"/>
                <w:szCs w:val="20"/>
              </w:rPr>
              <w:t>暴露周期</w:t>
            </w:r>
          </w:p>
        </w:tc>
        <w:tc>
          <w:tcPr>
            <w:tcW w:w="1983" w:type="pct"/>
            <w:gridSpan w:val="2"/>
            <w:tcBorders>
              <w:tl2br w:val="nil"/>
              <w:tr2bl w:val="nil"/>
            </w:tcBorders>
            <w:shd w:val="clear" w:color="auto" w:fill="auto"/>
            <w:vAlign w:val="center"/>
          </w:tcPr>
          <w:p>
            <w:pPr>
              <w:topLinePunct/>
              <w:spacing w:line="280" w:lineRule="exact"/>
              <w:jc w:val="center"/>
              <w:rPr>
                <w:rFonts w:cs="宋体"/>
                <w:b/>
                <w:bCs/>
                <w:sz w:val="20"/>
                <w:szCs w:val="20"/>
              </w:rPr>
            </w:pPr>
            <w:r>
              <w:rPr>
                <w:rFonts w:hint="eastAsia" w:ascii="宋体" w:cs="宋体"/>
                <w:b/>
                <w:bCs/>
                <w:kern w:val="0"/>
                <w:sz w:val="20"/>
                <w:szCs w:val="20"/>
              </w:rPr>
              <w:t>辐照度</w:t>
            </w:r>
          </w:p>
        </w:tc>
        <w:tc>
          <w:tcPr>
            <w:tcW w:w="512" w:type="pct"/>
            <w:vMerge w:val="restart"/>
            <w:tcBorders>
              <w:tl2br w:val="nil"/>
              <w:tr2bl w:val="nil"/>
            </w:tcBorders>
            <w:shd w:val="clear" w:color="auto" w:fill="auto"/>
            <w:vAlign w:val="center"/>
          </w:tcPr>
          <w:p>
            <w:pPr>
              <w:topLinePunct/>
              <w:spacing w:line="280" w:lineRule="exact"/>
              <w:jc w:val="center"/>
              <w:rPr>
                <w:rFonts w:ascii="宋体" w:cs="宋体"/>
                <w:b/>
                <w:bCs/>
                <w:kern w:val="0"/>
                <w:sz w:val="20"/>
                <w:szCs w:val="20"/>
              </w:rPr>
            </w:pPr>
            <w:r>
              <w:rPr>
                <w:rFonts w:hint="eastAsia" w:ascii="宋体" w:cs="宋体"/>
                <w:b/>
                <w:bCs/>
                <w:kern w:val="0"/>
                <w:sz w:val="20"/>
                <w:szCs w:val="20"/>
              </w:rPr>
              <w:t>黑标温度</w:t>
            </w:r>
          </w:p>
          <w:p>
            <w:pPr>
              <w:topLinePunct/>
              <w:spacing w:line="280" w:lineRule="exact"/>
              <w:jc w:val="center"/>
              <w:rPr>
                <w:rFonts w:cs="宋体"/>
                <w:b/>
                <w:bCs/>
                <w:sz w:val="20"/>
                <w:szCs w:val="20"/>
              </w:rPr>
            </w:pPr>
            <w:r>
              <w:rPr>
                <w:rFonts w:hint="eastAsia" w:ascii="宋体" w:cs="宋体"/>
                <w:b/>
                <w:bCs/>
                <w:kern w:val="0"/>
                <w:sz w:val="20"/>
                <w:szCs w:val="20"/>
              </w:rPr>
              <w:t>℃</w:t>
            </w:r>
          </w:p>
        </w:tc>
        <w:tc>
          <w:tcPr>
            <w:tcW w:w="555" w:type="pct"/>
            <w:vMerge w:val="restart"/>
            <w:tcBorders>
              <w:tl2br w:val="nil"/>
              <w:tr2bl w:val="nil"/>
            </w:tcBorders>
            <w:shd w:val="clear" w:color="auto" w:fill="auto"/>
            <w:vAlign w:val="center"/>
          </w:tcPr>
          <w:p>
            <w:pPr>
              <w:topLinePunct/>
              <w:spacing w:line="280" w:lineRule="exact"/>
              <w:jc w:val="center"/>
              <w:rPr>
                <w:rFonts w:cs="宋体"/>
                <w:b/>
                <w:bCs/>
                <w:kern w:val="0"/>
                <w:sz w:val="20"/>
                <w:szCs w:val="20"/>
              </w:rPr>
            </w:pPr>
            <w:r>
              <w:rPr>
                <w:rFonts w:hint="eastAsia" w:cs="宋体"/>
                <w:b/>
                <w:bCs/>
                <w:kern w:val="0"/>
                <w:sz w:val="20"/>
                <w:szCs w:val="20"/>
              </w:rPr>
              <w:t>黑板温度</w:t>
            </w:r>
          </w:p>
          <w:p>
            <w:pPr>
              <w:topLinePunct/>
              <w:spacing w:line="280" w:lineRule="exact"/>
              <w:jc w:val="center"/>
              <w:rPr>
                <w:rFonts w:cs="宋体"/>
                <w:b/>
                <w:bCs/>
                <w:kern w:val="0"/>
                <w:sz w:val="20"/>
                <w:szCs w:val="20"/>
              </w:rPr>
            </w:pPr>
            <w:r>
              <w:rPr>
                <w:rFonts w:hint="eastAsia" w:cs="宋体"/>
                <w:b/>
                <w:bCs/>
                <w:kern w:val="0"/>
                <w:sz w:val="20"/>
                <w:szCs w:val="20"/>
              </w:rPr>
              <w:t>℃</w:t>
            </w:r>
          </w:p>
        </w:tc>
        <w:tc>
          <w:tcPr>
            <w:tcW w:w="555" w:type="pct"/>
            <w:vMerge w:val="restart"/>
            <w:tcBorders>
              <w:tl2br w:val="nil"/>
              <w:tr2bl w:val="nil"/>
            </w:tcBorders>
            <w:shd w:val="clear" w:color="auto" w:fill="auto"/>
            <w:vAlign w:val="center"/>
          </w:tcPr>
          <w:p>
            <w:pPr>
              <w:topLinePunct/>
              <w:spacing w:line="280" w:lineRule="exact"/>
              <w:jc w:val="center"/>
              <w:rPr>
                <w:rFonts w:cs="宋体"/>
                <w:b/>
                <w:bCs/>
                <w:kern w:val="0"/>
                <w:sz w:val="20"/>
                <w:szCs w:val="20"/>
              </w:rPr>
            </w:pPr>
            <w:r>
              <w:rPr>
                <w:rFonts w:hint="eastAsia" w:cs="宋体"/>
                <w:b/>
                <w:bCs/>
                <w:kern w:val="0"/>
                <w:sz w:val="20"/>
                <w:szCs w:val="20"/>
              </w:rPr>
              <w:t>试验箱温度</w:t>
            </w:r>
          </w:p>
          <w:p>
            <w:pPr>
              <w:topLinePunct/>
              <w:spacing w:line="280" w:lineRule="exact"/>
              <w:jc w:val="center"/>
              <w:rPr>
                <w:rFonts w:cs="宋体"/>
                <w:b/>
                <w:bCs/>
                <w:sz w:val="20"/>
                <w:szCs w:val="20"/>
              </w:rPr>
            </w:pPr>
            <w:r>
              <w:rPr>
                <w:rFonts w:hint="eastAsia" w:ascii="宋体" w:cs="宋体"/>
                <w:b/>
                <w:bCs/>
                <w:kern w:val="0"/>
                <w:sz w:val="20"/>
                <w:szCs w:val="20"/>
              </w:rPr>
              <w:t>℃</w:t>
            </w:r>
          </w:p>
        </w:tc>
        <w:tc>
          <w:tcPr>
            <w:tcW w:w="659" w:type="pct"/>
            <w:vMerge w:val="restart"/>
            <w:tcBorders>
              <w:tl2br w:val="nil"/>
              <w:tr2bl w:val="nil"/>
            </w:tcBorders>
            <w:shd w:val="clear" w:color="auto" w:fill="auto"/>
            <w:vAlign w:val="center"/>
          </w:tcPr>
          <w:p>
            <w:pPr>
              <w:topLinePunct/>
              <w:spacing w:line="280" w:lineRule="exact"/>
              <w:jc w:val="center"/>
              <w:rPr>
                <w:rFonts w:ascii="宋体" w:cs="宋体"/>
                <w:b/>
                <w:bCs/>
                <w:kern w:val="0"/>
                <w:sz w:val="20"/>
                <w:szCs w:val="20"/>
              </w:rPr>
            </w:pPr>
            <w:r>
              <w:rPr>
                <w:rFonts w:hint="eastAsia" w:ascii="宋体" w:cs="宋体"/>
                <w:b/>
                <w:bCs/>
                <w:kern w:val="0"/>
                <w:sz w:val="20"/>
                <w:szCs w:val="20"/>
              </w:rPr>
              <w:t>相对湿度</w:t>
            </w:r>
          </w:p>
          <w:p>
            <w:pPr>
              <w:topLinePunct/>
              <w:spacing w:line="280" w:lineRule="exact"/>
              <w:jc w:val="center"/>
              <w:rPr>
                <w:rFonts w:cs="宋体"/>
                <w:b/>
                <w:bCs/>
                <w:sz w:val="20"/>
                <w:szCs w:val="20"/>
              </w:rPr>
            </w:pPr>
            <w:r>
              <w:rPr>
                <w:rFonts w:hint="eastAsia" w:ascii="宋体" w:cs="宋体"/>
                <w:b/>
                <w:bCs/>
                <w:kern w:val="0"/>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32" w:type="pct"/>
            <w:vMerge w:val="continue"/>
            <w:tcBorders>
              <w:tl2br w:val="nil"/>
              <w:tr2bl w:val="nil"/>
            </w:tcBorders>
            <w:shd w:val="clear" w:color="auto" w:fill="auto"/>
            <w:vAlign w:val="center"/>
          </w:tcPr>
          <w:p>
            <w:pPr>
              <w:topLinePunct/>
              <w:spacing w:line="280" w:lineRule="exact"/>
              <w:jc w:val="center"/>
              <w:rPr>
                <w:rFonts w:cs="宋体"/>
                <w:sz w:val="18"/>
                <w:szCs w:val="18"/>
              </w:rPr>
            </w:pPr>
          </w:p>
        </w:tc>
        <w:tc>
          <w:tcPr>
            <w:tcW w:w="1018" w:type="pct"/>
            <w:tcBorders>
              <w:tl2br w:val="nil"/>
              <w:tr2bl w:val="nil"/>
            </w:tcBorders>
            <w:shd w:val="clear" w:color="auto" w:fill="auto"/>
            <w:vAlign w:val="center"/>
          </w:tcPr>
          <w:p>
            <w:pPr>
              <w:topLinePunct/>
              <w:spacing w:line="280" w:lineRule="exact"/>
              <w:jc w:val="center"/>
              <w:rPr>
                <w:rFonts w:ascii="宋体" w:cs="宋体"/>
                <w:b/>
                <w:bCs/>
                <w:kern w:val="0"/>
                <w:sz w:val="20"/>
                <w:szCs w:val="20"/>
              </w:rPr>
            </w:pPr>
            <w:r>
              <w:rPr>
                <w:rFonts w:hint="eastAsia" w:ascii="宋体" w:cs="宋体"/>
                <w:b/>
                <w:bCs/>
                <w:kern w:val="0"/>
                <w:sz w:val="20"/>
                <w:szCs w:val="20"/>
              </w:rPr>
              <w:t>宽带</w:t>
            </w:r>
            <w:r>
              <w:rPr>
                <w:rFonts w:ascii="宋体" w:cs="宋体"/>
                <w:b/>
                <w:bCs/>
                <w:kern w:val="0"/>
                <w:sz w:val="20"/>
                <w:szCs w:val="20"/>
              </w:rPr>
              <w:t>(300</w:t>
            </w:r>
            <w:r>
              <w:rPr>
                <w:rFonts w:hint="eastAsia" w:ascii="宋体" w:cs="宋体"/>
                <w:b/>
                <w:bCs/>
                <w:w w:val="50"/>
                <w:kern w:val="0"/>
                <w:sz w:val="20"/>
                <w:szCs w:val="20"/>
              </w:rPr>
              <w:t xml:space="preserve"> </w:t>
            </w:r>
            <w:r>
              <w:rPr>
                <w:rFonts w:ascii="宋体" w:cs="宋体"/>
                <w:b/>
                <w:bCs/>
                <w:kern w:val="0"/>
                <w:sz w:val="20"/>
                <w:szCs w:val="20"/>
              </w:rPr>
              <w:t>nm</w:t>
            </w:r>
            <w:r>
              <w:rPr>
                <w:rFonts w:hint="eastAsia" w:ascii="宋体" w:cs="宋体"/>
                <w:b/>
                <w:bCs/>
                <w:kern w:val="0"/>
                <w:sz w:val="20"/>
                <w:szCs w:val="20"/>
              </w:rPr>
              <w:t>～</w:t>
            </w:r>
            <w:r>
              <w:rPr>
                <w:rFonts w:ascii="宋体" w:cs="宋体"/>
                <w:b/>
                <w:bCs/>
                <w:kern w:val="0"/>
                <w:sz w:val="20"/>
                <w:szCs w:val="20"/>
              </w:rPr>
              <w:t>400</w:t>
            </w:r>
            <w:r>
              <w:rPr>
                <w:rFonts w:hint="eastAsia" w:ascii="宋体" w:cs="宋体"/>
                <w:b/>
                <w:bCs/>
                <w:w w:val="50"/>
                <w:kern w:val="0"/>
                <w:sz w:val="20"/>
                <w:szCs w:val="20"/>
              </w:rPr>
              <w:t xml:space="preserve"> </w:t>
            </w:r>
            <w:r>
              <w:rPr>
                <w:rFonts w:ascii="宋体" w:cs="宋体"/>
                <w:b/>
                <w:bCs/>
                <w:kern w:val="0"/>
                <w:sz w:val="20"/>
                <w:szCs w:val="20"/>
              </w:rPr>
              <w:t>nm)W/m</w:t>
            </w:r>
            <w:r>
              <w:rPr>
                <w:rFonts w:ascii="宋体" w:cs="宋体"/>
                <w:b/>
                <w:bCs/>
                <w:kern w:val="0"/>
                <w:sz w:val="20"/>
                <w:szCs w:val="20"/>
                <w:vertAlign w:val="superscript"/>
              </w:rPr>
              <w:t>2</w:t>
            </w:r>
          </w:p>
        </w:tc>
        <w:tc>
          <w:tcPr>
            <w:tcW w:w="964" w:type="pct"/>
            <w:tcBorders>
              <w:tl2br w:val="nil"/>
              <w:tr2bl w:val="nil"/>
            </w:tcBorders>
            <w:shd w:val="clear" w:color="auto" w:fill="auto"/>
            <w:vAlign w:val="center"/>
          </w:tcPr>
          <w:p>
            <w:pPr>
              <w:topLinePunct/>
              <w:spacing w:line="280" w:lineRule="exact"/>
              <w:jc w:val="center"/>
              <w:rPr>
                <w:rFonts w:ascii="宋体" w:cs="宋体"/>
                <w:b/>
                <w:bCs/>
                <w:kern w:val="0"/>
                <w:sz w:val="20"/>
                <w:szCs w:val="20"/>
              </w:rPr>
            </w:pPr>
            <w:r>
              <w:rPr>
                <w:rFonts w:hint="eastAsia" w:ascii="宋体" w:cs="宋体"/>
                <w:b/>
                <w:bCs/>
                <w:kern w:val="0"/>
                <w:sz w:val="20"/>
                <w:szCs w:val="20"/>
              </w:rPr>
              <w:t>窄带</w:t>
            </w:r>
            <w:r>
              <w:rPr>
                <w:rFonts w:ascii="宋体" w:cs="宋体"/>
                <w:b/>
                <w:bCs/>
                <w:kern w:val="0"/>
                <w:sz w:val="20"/>
                <w:szCs w:val="20"/>
              </w:rPr>
              <w:t>(340</w:t>
            </w:r>
            <w:r>
              <w:rPr>
                <w:rFonts w:hint="eastAsia" w:ascii="宋体" w:cs="宋体"/>
                <w:b/>
                <w:bCs/>
                <w:w w:val="50"/>
                <w:kern w:val="0"/>
                <w:sz w:val="20"/>
                <w:szCs w:val="20"/>
              </w:rPr>
              <w:t xml:space="preserve"> </w:t>
            </w:r>
            <w:r>
              <w:rPr>
                <w:rFonts w:ascii="宋体" w:cs="宋体"/>
                <w:b/>
                <w:bCs/>
                <w:kern w:val="0"/>
                <w:sz w:val="20"/>
                <w:szCs w:val="20"/>
              </w:rPr>
              <w:t>nm)</w:t>
            </w:r>
          </w:p>
          <w:p>
            <w:pPr>
              <w:topLinePunct/>
              <w:spacing w:line="280" w:lineRule="exact"/>
              <w:jc w:val="center"/>
              <w:rPr>
                <w:rFonts w:ascii="宋体" w:cs="宋体"/>
                <w:b/>
                <w:bCs/>
                <w:kern w:val="0"/>
                <w:sz w:val="20"/>
                <w:szCs w:val="20"/>
              </w:rPr>
            </w:pPr>
            <w:r>
              <w:rPr>
                <w:rFonts w:ascii="宋体" w:cs="宋体"/>
                <w:b/>
                <w:bCs/>
                <w:kern w:val="0"/>
                <w:sz w:val="20"/>
                <w:szCs w:val="20"/>
              </w:rPr>
              <w:t>W/(m</w:t>
            </w:r>
            <w:r>
              <w:rPr>
                <w:rFonts w:ascii="宋体" w:cs="宋体"/>
                <w:b/>
                <w:bCs/>
                <w:kern w:val="0"/>
                <w:sz w:val="20"/>
                <w:szCs w:val="20"/>
                <w:vertAlign w:val="superscript"/>
              </w:rPr>
              <w:t>2</w:t>
            </w:r>
            <w:r>
              <w:rPr>
                <w:rFonts w:hint="eastAsia" w:ascii="宋体" w:cs="宋体"/>
                <w:b/>
                <w:bCs/>
                <w:kern w:val="0"/>
                <w:sz w:val="20"/>
                <w:szCs w:val="20"/>
              </w:rPr>
              <w:t>·</w:t>
            </w:r>
            <w:r>
              <w:rPr>
                <w:rFonts w:ascii="宋体" w:cs="宋体"/>
                <w:b/>
                <w:bCs/>
                <w:kern w:val="0"/>
                <w:sz w:val="20"/>
                <w:szCs w:val="20"/>
              </w:rPr>
              <w:t>nm)</w:t>
            </w:r>
          </w:p>
        </w:tc>
        <w:tc>
          <w:tcPr>
            <w:tcW w:w="512" w:type="pct"/>
            <w:vMerge w:val="continue"/>
            <w:tcBorders>
              <w:tl2br w:val="nil"/>
              <w:tr2bl w:val="nil"/>
            </w:tcBorders>
            <w:shd w:val="clear" w:color="auto" w:fill="auto"/>
            <w:vAlign w:val="center"/>
          </w:tcPr>
          <w:p>
            <w:pPr>
              <w:topLinePunct/>
              <w:spacing w:line="280" w:lineRule="exact"/>
              <w:jc w:val="center"/>
              <w:rPr>
                <w:rFonts w:ascii="宋体" w:cs="宋体"/>
                <w:kern w:val="0"/>
                <w:sz w:val="18"/>
                <w:szCs w:val="18"/>
              </w:rPr>
            </w:pPr>
          </w:p>
        </w:tc>
        <w:tc>
          <w:tcPr>
            <w:tcW w:w="555" w:type="pct"/>
            <w:vMerge w:val="continue"/>
            <w:tcBorders>
              <w:tl2br w:val="nil"/>
              <w:tr2bl w:val="nil"/>
            </w:tcBorders>
            <w:shd w:val="clear" w:color="auto" w:fill="auto"/>
          </w:tcPr>
          <w:p>
            <w:pPr>
              <w:topLinePunct/>
              <w:spacing w:line="280" w:lineRule="exact"/>
              <w:jc w:val="center"/>
              <w:rPr>
                <w:rFonts w:ascii="宋体" w:cs="宋体"/>
                <w:kern w:val="0"/>
                <w:sz w:val="18"/>
                <w:szCs w:val="18"/>
              </w:rPr>
            </w:pPr>
          </w:p>
        </w:tc>
        <w:tc>
          <w:tcPr>
            <w:tcW w:w="555" w:type="pct"/>
            <w:vMerge w:val="continue"/>
            <w:tcBorders>
              <w:tl2br w:val="nil"/>
              <w:tr2bl w:val="nil"/>
            </w:tcBorders>
            <w:shd w:val="clear" w:color="auto" w:fill="auto"/>
            <w:vAlign w:val="center"/>
          </w:tcPr>
          <w:p>
            <w:pPr>
              <w:topLinePunct/>
              <w:spacing w:line="280" w:lineRule="exact"/>
              <w:jc w:val="center"/>
              <w:rPr>
                <w:rFonts w:ascii="宋体" w:cs="宋体"/>
                <w:kern w:val="0"/>
                <w:sz w:val="18"/>
                <w:szCs w:val="18"/>
              </w:rPr>
            </w:pPr>
          </w:p>
        </w:tc>
        <w:tc>
          <w:tcPr>
            <w:tcW w:w="659" w:type="pct"/>
            <w:vMerge w:val="continue"/>
            <w:tcBorders>
              <w:tl2br w:val="nil"/>
              <w:tr2bl w:val="nil"/>
            </w:tcBorders>
            <w:shd w:val="clear" w:color="auto" w:fill="auto"/>
            <w:vAlign w:val="center"/>
          </w:tcPr>
          <w:p>
            <w:pPr>
              <w:topLinePunct/>
              <w:spacing w:line="280" w:lineRule="exact"/>
              <w:jc w:val="center"/>
              <w:rPr>
                <w:rFonts w:ascii="宋体" w:cs="宋体"/>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39" w:hRule="atLeast"/>
          <w:jc w:val="center"/>
        </w:trPr>
        <w:tc>
          <w:tcPr>
            <w:tcW w:w="732" w:type="pct"/>
            <w:tcBorders>
              <w:tl2br w:val="nil"/>
              <w:tr2bl w:val="nil"/>
            </w:tcBorders>
            <w:shd w:val="clear" w:color="auto" w:fill="auto"/>
            <w:vAlign w:val="center"/>
          </w:tcPr>
          <w:p>
            <w:pPr>
              <w:topLinePunct/>
              <w:spacing w:line="280" w:lineRule="exact"/>
              <w:jc w:val="center"/>
              <w:rPr>
                <w:rFonts w:ascii="Times New Roman" w:cs="Times New Roman"/>
                <w:kern w:val="0"/>
                <w:sz w:val="18"/>
                <w:szCs w:val="18"/>
              </w:rPr>
            </w:pPr>
            <w:r>
              <w:rPr>
                <w:rFonts w:ascii="Times New Roman" w:cs="Times New Roman"/>
                <w:kern w:val="0"/>
                <w:sz w:val="18"/>
                <w:szCs w:val="18"/>
              </w:rPr>
              <w:t>102</w:t>
            </w:r>
            <w:r>
              <w:rPr>
                <w:rFonts w:hint="default" w:ascii="Times New Roman" w:cs="Times New Roman"/>
                <w:w w:val="50"/>
                <w:kern w:val="0"/>
                <w:sz w:val="18"/>
                <w:szCs w:val="18"/>
              </w:rPr>
              <w:t xml:space="preserve"> </w:t>
            </w:r>
            <w:r>
              <w:rPr>
                <w:rFonts w:ascii="Times New Roman" w:cs="Times New Roman"/>
                <w:kern w:val="0"/>
                <w:sz w:val="18"/>
                <w:szCs w:val="18"/>
              </w:rPr>
              <w:t>min</w:t>
            </w:r>
            <w:r>
              <w:rPr>
                <w:rFonts w:hint="default" w:ascii="Times New Roman" w:cs="Times New Roman"/>
                <w:kern w:val="0"/>
                <w:sz w:val="18"/>
                <w:szCs w:val="18"/>
              </w:rPr>
              <w:t>干燥</w:t>
            </w:r>
          </w:p>
          <w:p>
            <w:pPr>
              <w:topLinePunct/>
              <w:spacing w:line="280" w:lineRule="exact"/>
              <w:jc w:val="center"/>
              <w:rPr>
                <w:rFonts w:ascii="Times New Roman" w:cs="Times New Roman"/>
                <w:kern w:val="0"/>
                <w:sz w:val="18"/>
                <w:szCs w:val="18"/>
              </w:rPr>
            </w:pPr>
            <w:r>
              <w:rPr>
                <w:rFonts w:ascii="Times New Roman" w:cs="Times New Roman"/>
                <w:kern w:val="0"/>
                <w:sz w:val="18"/>
                <w:szCs w:val="18"/>
              </w:rPr>
              <w:t>18</w:t>
            </w:r>
            <w:r>
              <w:rPr>
                <w:rFonts w:hint="default" w:ascii="Times New Roman" w:cs="Times New Roman"/>
                <w:w w:val="50"/>
                <w:kern w:val="0"/>
                <w:sz w:val="18"/>
                <w:szCs w:val="18"/>
              </w:rPr>
              <w:t xml:space="preserve"> </w:t>
            </w:r>
            <w:r>
              <w:rPr>
                <w:rFonts w:ascii="Times New Roman" w:cs="Times New Roman"/>
                <w:kern w:val="0"/>
                <w:sz w:val="18"/>
                <w:szCs w:val="18"/>
              </w:rPr>
              <w:t>min</w:t>
            </w:r>
            <w:r>
              <w:rPr>
                <w:rFonts w:hint="default" w:ascii="Times New Roman" w:cs="Times New Roman"/>
                <w:kern w:val="0"/>
                <w:sz w:val="18"/>
                <w:szCs w:val="18"/>
              </w:rPr>
              <w:t>喷淋</w:t>
            </w:r>
          </w:p>
        </w:tc>
        <w:tc>
          <w:tcPr>
            <w:tcW w:w="1018" w:type="pct"/>
            <w:tcBorders>
              <w:tl2br w:val="nil"/>
              <w:tr2bl w:val="nil"/>
            </w:tcBorders>
            <w:shd w:val="clear" w:color="auto" w:fill="auto"/>
            <w:vAlign w:val="center"/>
          </w:tcPr>
          <w:p>
            <w:pPr>
              <w:topLinePunct/>
              <w:spacing w:line="280" w:lineRule="exact"/>
              <w:jc w:val="center"/>
              <w:rPr>
                <w:rFonts w:ascii="Times New Roman" w:cs="Times New Roman"/>
                <w:kern w:val="0"/>
                <w:sz w:val="18"/>
                <w:szCs w:val="18"/>
              </w:rPr>
            </w:pPr>
            <w:r>
              <w:rPr>
                <w:rFonts w:ascii="Times New Roman" w:cs="Times New Roman"/>
                <w:kern w:val="0"/>
                <w:sz w:val="18"/>
                <w:szCs w:val="18"/>
              </w:rPr>
              <w:t>60</w:t>
            </w:r>
            <w:r>
              <w:rPr>
                <w:rFonts w:hint="default" w:ascii="Times New Roman" w:cs="Times New Roman"/>
                <w:kern w:val="0"/>
                <w:sz w:val="18"/>
                <w:szCs w:val="18"/>
              </w:rPr>
              <w:t>±</w:t>
            </w:r>
            <w:r>
              <w:rPr>
                <w:rFonts w:ascii="Times New Roman" w:cs="Times New Roman"/>
                <w:kern w:val="0"/>
                <w:sz w:val="18"/>
                <w:szCs w:val="18"/>
              </w:rPr>
              <w:t>2</w:t>
            </w:r>
          </w:p>
          <w:p>
            <w:pPr>
              <w:topLinePunct/>
              <w:spacing w:line="280" w:lineRule="exact"/>
              <w:jc w:val="center"/>
              <w:rPr>
                <w:rFonts w:ascii="Times New Roman" w:cs="Times New Roman"/>
                <w:kern w:val="0"/>
                <w:sz w:val="18"/>
                <w:szCs w:val="18"/>
              </w:rPr>
            </w:pPr>
            <w:r>
              <w:rPr>
                <w:rFonts w:ascii="Times New Roman" w:cs="Times New Roman"/>
                <w:kern w:val="0"/>
                <w:sz w:val="18"/>
                <w:szCs w:val="18"/>
              </w:rPr>
              <w:t>60</w:t>
            </w:r>
            <w:r>
              <w:rPr>
                <w:rFonts w:hint="default" w:ascii="Times New Roman" w:cs="Times New Roman"/>
                <w:kern w:val="0"/>
                <w:sz w:val="18"/>
                <w:szCs w:val="18"/>
              </w:rPr>
              <w:t>±</w:t>
            </w:r>
            <w:r>
              <w:rPr>
                <w:rFonts w:ascii="Times New Roman" w:cs="Times New Roman"/>
                <w:kern w:val="0"/>
                <w:sz w:val="18"/>
                <w:szCs w:val="18"/>
              </w:rPr>
              <w:t>2</w:t>
            </w:r>
          </w:p>
        </w:tc>
        <w:tc>
          <w:tcPr>
            <w:tcW w:w="964" w:type="pct"/>
            <w:tcBorders>
              <w:tl2br w:val="nil"/>
              <w:tr2bl w:val="nil"/>
            </w:tcBorders>
            <w:shd w:val="clear" w:color="auto" w:fill="auto"/>
            <w:vAlign w:val="center"/>
          </w:tcPr>
          <w:p>
            <w:pPr>
              <w:topLinePunct/>
              <w:spacing w:line="280" w:lineRule="exact"/>
              <w:jc w:val="center"/>
              <w:rPr>
                <w:rFonts w:ascii="Times New Roman" w:cs="Times New Roman"/>
                <w:kern w:val="0"/>
                <w:sz w:val="18"/>
                <w:szCs w:val="18"/>
              </w:rPr>
            </w:pPr>
            <w:r>
              <w:rPr>
                <w:rFonts w:ascii="Times New Roman" w:cs="Times New Roman"/>
                <w:kern w:val="0"/>
                <w:sz w:val="18"/>
                <w:szCs w:val="18"/>
              </w:rPr>
              <w:t>0.51</w:t>
            </w:r>
            <w:r>
              <w:rPr>
                <w:rFonts w:hint="default" w:ascii="Times New Roman" w:cs="Times New Roman"/>
                <w:kern w:val="0"/>
                <w:sz w:val="18"/>
                <w:szCs w:val="18"/>
              </w:rPr>
              <w:t>±</w:t>
            </w:r>
            <w:r>
              <w:rPr>
                <w:rFonts w:ascii="Times New Roman" w:cs="Times New Roman"/>
                <w:kern w:val="0"/>
                <w:sz w:val="18"/>
                <w:szCs w:val="18"/>
              </w:rPr>
              <w:t>0.02</w:t>
            </w:r>
          </w:p>
          <w:p>
            <w:pPr>
              <w:topLinePunct/>
              <w:spacing w:line="280" w:lineRule="exact"/>
              <w:jc w:val="center"/>
              <w:rPr>
                <w:rFonts w:ascii="Times New Roman" w:cs="Times New Roman"/>
                <w:kern w:val="0"/>
                <w:sz w:val="18"/>
                <w:szCs w:val="18"/>
              </w:rPr>
            </w:pPr>
            <w:r>
              <w:rPr>
                <w:rFonts w:ascii="Times New Roman" w:cs="Times New Roman"/>
                <w:kern w:val="0"/>
                <w:sz w:val="18"/>
                <w:szCs w:val="18"/>
              </w:rPr>
              <w:t>0.51</w:t>
            </w:r>
            <w:r>
              <w:rPr>
                <w:rFonts w:hint="default" w:ascii="Times New Roman" w:cs="Times New Roman"/>
                <w:kern w:val="0"/>
                <w:sz w:val="18"/>
                <w:szCs w:val="18"/>
              </w:rPr>
              <w:t>±</w:t>
            </w:r>
            <w:r>
              <w:rPr>
                <w:rFonts w:ascii="Times New Roman" w:cs="Times New Roman"/>
                <w:kern w:val="0"/>
                <w:sz w:val="18"/>
                <w:szCs w:val="18"/>
              </w:rPr>
              <w:t>0.02</w:t>
            </w:r>
          </w:p>
        </w:tc>
        <w:tc>
          <w:tcPr>
            <w:tcW w:w="512" w:type="pct"/>
            <w:tcBorders>
              <w:tl2br w:val="nil"/>
              <w:tr2bl w:val="nil"/>
            </w:tcBorders>
            <w:shd w:val="clear" w:color="auto" w:fill="auto"/>
            <w:vAlign w:val="center"/>
          </w:tcPr>
          <w:p>
            <w:pPr>
              <w:topLinePunct/>
              <w:spacing w:line="280" w:lineRule="exact"/>
              <w:jc w:val="center"/>
              <w:rPr>
                <w:rFonts w:ascii="Times New Roman" w:cs="Times New Roman"/>
                <w:kern w:val="0"/>
                <w:sz w:val="18"/>
                <w:szCs w:val="18"/>
              </w:rPr>
            </w:pPr>
            <w:r>
              <w:rPr>
                <w:rFonts w:ascii="Times New Roman" w:cs="Times New Roman"/>
                <w:kern w:val="0"/>
                <w:sz w:val="18"/>
                <w:szCs w:val="18"/>
              </w:rPr>
              <w:t>65</w:t>
            </w:r>
            <w:r>
              <w:rPr>
                <w:rFonts w:hint="default" w:ascii="Times New Roman" w:cs="Times New Roman"/>
                <w:kern w:val="0"/>
                <w:sz w:val="18"/>
                <w:szCs w:val="18"/>
              </w:rPr>
              <w:t>±</w:t>
            </w:r>
            <w:r>
              <w:rPr>
                <w:rFonts w:ascii="Times New Roman" w:cs="Times New Roman"/>
                <w:kern w:val="0"/>
                <w:sz w:val="18"/>
                <w:szCs w:val="18"/>
              </w:rPr>
              <w:t>3</w:t>
            </w:r>
          </w:p>
          <w:p>
            <w:pPr>
              <w:topLinePunct/>
              <w:spacing w:line="280" w:lineRule="exact"/>
              <w:jc w:val="center"/>
              <w:rPr>
                <w:rFonts w:ascii="Times New Roman" w:cs="Times New Roman"/>
                <w:kern w:val="0"/>
                <w:sz w:val="18"/>
                <w:szCs w:val="18"/>
              </w:rPr>
            </w:pPr>
            <w:r>
              <w:rPr>
                <w:rFonts w:hint="default" w:ascii="Times New Roman" w:cs="Times New Roman"/>
                <w:kern w:val="0"/>
                <w:sz w:val="18"/>
                <w:szCs w:val="18"/>
              </w:rPr>
              <w:t>－</w:t>
            </w:r>
          </w:p>
        </w:tc>
        <w:tc>
          <w:tcPr>
            <w:tcW w:w="555" w:type="pct"/>
            <w:tcBorders>
              <w:tl2br w:val="nil"/>
              <w:tr2bl w:val="nil"/>
            </w:tcBorders>
            <w:shd w:val="clear" w:color="auto" w:fill="auto"/>
            <w:vAlign w:val="center"/>
          </w:tcPr>
          <w:p>
            <w:pPr>
              <w:topLinePunct/>
              <w:spacing w:line="280" w:lineRule="exact"/>
              <w:jc w:val="center"/>
              <w:rPr>
                <w:rFonts w:ascii="Times New Roman" w:cs="Times New Roman"/>
                <w:kern w:val="0"/>
                <w:sz w:val="18"/>
                <w:szCs w:val="18"/>
              </w:rPr>
            </w:pPr>
            <w:r>
              <w:rPr>
                <w:rFonts w:hint="default" w:ascii="Times New Roman" w:cs="Times New Roman"/>
                <w:kern w:val="0"/>
                <w:sz w:val="18"/>
                <w:szCs w:val="18"/>
              </w:rPr>
              <w:t>63±3</w:t>
            </w:r>
          </w:p>
          <w:p>
            <w:pPr>
              <w:topLinePunct/>
              <w:spacing w:line="280" w:lineRule="exact"/>
              <w:jc w:val="center"/>
              <w:rPr>
                <w:rFonts w:ascii="Times New Roman" w:cs="Times New Roman"/>
                <w:kern w:val="0"/>
                <w:sz w:val="18"/>
                <w:szCs w:val="18"/>
              </w:rPr>
            </w:pPr>
            <w:r>
              <w:rPr>
                <w:rFonts w:hint="default" w:ascii="Times New Roman" w:cs="Times New Roman"/>
                <w:kern w:val="0"/>
                <w:sz w:val="18"/>
                <w:szCs w:val="18"/>
              </w:rPr>
              <w:t>－</w:t>
            </w:r>
          </w:p>
        </w:tc>
        <w:tc>
          <w:tcPr>
            <w:tcW w:w="555" w:type="pct"/>
            <w:tcBorders>
              <w:tl2br w:val="nil"/>
              <w:tr2bl w:val="nil"/>
            </w:tcBorders>
            <w:shd w:val="clear" w:color="auto" w:fill="auto"/>
            <w:vAlign w:val="center"/>
          </w:tcPr>
          <w:p>
            <w:pPr>
              <w:topLinePunct/>
              <w:spacing w:line="280" w:lineRule="exact"/>
              <w:jc w:val="center"/>
              <w:rPr>
                <w:rFonts w:ascii="Times New Roman" w:cs="Times New Roman"/>
                <w:kern w:val="0"/>
                <w:sz w:val="18"/>
                <w:szCs w:val="18"/>
              </w:rPr>
            </w:pPr>
            <w:r>
              <w:rPr>
                <w:rFonts w:ascii="Times New Roman" w:cs="Times New Roman"/>
                <w:kern w:val="0"/>
                <w:sz w:val="18"/>
                <w:szCs w:val="18"/>
              </w:rPr>
              <w:t>38</w:t>
            </w:r>
            <w:r>
              <w:rPr>
                <w:rFonts w:hint="default" w:ascii="Times New Roman" w:cs="Times New Roman"/>
                <w:kern w:val="0"/>
                <w:sz w:val="18"/>
                <w:szCs w:val="18"/>
              </w:rPr>
              <w:t>±3</w:t>
            </w:r>
          </w:p>
          <w:p>
            <w:pPr>
              <w:topLinePunct/>
              <w:spacing w:line="280" w:lineRule="exact"/>
              <w:jc w:val="center"/>
              <w:rPr>
                <w:rFonts w:cs="Times New Roman"/>
                <w:sz w:val="18"/>
                <w:szCs w:val="18"/>
              </w:rPr>
            </w:pPr>
            <w:r>
              <w:rPr>
                <w:rFonts w:hint="default" w:ascii="Times New Roman" w:cs="Times New Roman"/>
                <w:kern w:val="0"/>
                <w:sz w:val="18"/>
                <w:szCs w:val="18"/>
              </w:rPr>
              <w:t>－</w:t>
            </w:r>
          </w:p>
        </w:tc>
        <w:tc>
          <w:tcPr>
            <w:tcW w:w="659" w:type="pct"/>
            <w:tcBorders>
              <w:tl2br w:val="nil"/>
              <w:tr2bl w:val="nil"/>
            </w:tcBorders>
            <w:shd w:val="clear" w:color="auto" w:fill="auto"/>
            <w:vAlign w:val="center"/>
          </w:tcPr>
          <w:p>
            <w:pPr>
              <w:topLinePunct/>
              <w:spacing w:line="280" w:lineRule="exact"/>
              <w:jc w:val="center"/>
              <w:rPr>
                <w:rFonts w:ascii="Times New Roman" w:cs="Times New Roman"/>
                <w:kern w:val="0"/>
                <w:sz w:val="18"/>
                <w:szCs w:val="18"/>
                <w:vertAlign w:val="superscript"/>
              </w:rPr>
            </w:pPr>
            <w:r>
              <w:rPr>
                <w:rFonts w:ascii="Times New Roman" w:cs="Times New Roman"/>
                <w:kern w:val="0"/>
                <w:sz w:val="18"/>
                <w:szCs w:val="18"/>
              </w:rPr>
              <w:t>50</w:t>
            </w:r>
            <w:r>
              <w:rPr>
                <w:rFonts w:hint="default" w:ascii="Times New Roman" w:cs="Times New Roman"/>
                <w:kern w:val="0"/>
                <w:sz w:val="18"/>
                <w:szCs w:val="18"/>
              </w:rPr>
              <w:t>±</w:t>
            </w:r>
            <w:r>
              <w:rPr>
                <w:rFonts w:ascii="Times New Roman" w:cs="Times New Roman"/>
                <w:kern w:val="0"/>
                <w:sz w:val="18"/>
                <w:szCs w:val="18"/>
              </w:rPr>
              <w:t>10</w:t>
            </w:r>
          </w:p>
          <w:p>
            <w:pPr>
              <w:topLinePunct/>
              <w:spacing w:line="280" w:lineRule="exact"/>
              <w:jc w:val="center"/>
              <w:rPr>
                <w:rFonts w:ascii="Times New Roman" w:cs="Times New Roman"/>
                <w:kern w:val="0"/>
                <w:sz w:val="18"/>
                <w:szCs w:val="18"/>
              </w:rPr>
            </w:pPr>
            <w:r>
              <w:rPr>
                <w:rFonts w:hint="default" w:ascii="Times New Roman" w:cs="Times New Roman"/>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71" w:hRule="atLeast"/>
          <w:jc w:val="center"/>
        </w:trPr>
        <w:tc>
          <w:tcPr>
            <w:tcW w:w="5000" w:type="pct"/>
            <w:gridSpan w:val="7"/>
            <w:tcBorders>
              <w:tl2br w:val="nil"/>
              <w:tr2bl w:val="nil"/>
            </w:tcBorders>
            <w:shd w:val="clear" w:color="auto" w:fill="auto"/>
          </w:tcPr>
          <w:p>
            <w:pPr>
              <w:pStyle w:val="64"/>
              <w:topLinePunct/>
              <w:autoSpaceDE/>
              <w:autoSpaceDN/>
              <w:spacing w:line="280" w:lineRule="exact"/>
            </w:pPr>
            <w:r>
              <w:rPr>
                <w:rFonts w:hint="eastAsia"/>
              </w:rPr>
              <w:t>表中给出的辐照度、黑标温度和相对湿度的正负偏差是在平衡状态下给定参数的允许波动范围。不表示给定值可在允许的范围内任意加减。</w:t>
            </w:r>
          </w:p>
          <w:p>
            <w:pPr>
              <w:pStyle w:val="64"/>
              <w:topLinePunct/>
              <w:autoSpaceDE/>
              <w:autoSpaceDN/>
              <w:spacing w:line="280" w:lineRule="exact"/>
            </w:pPr>
            <w:r>
              <w:rPr>
                <w:rFonts w:hint="eastAsia"/>
              </w:rPr>
              <w:t>对于不要求控制温度和湿度的暴露试验,需要在暴露试验报告中注明这两个测量值。</w:t>
            </w:r>
          </w:p>
        </w:tc>
      </w:tr>
    </w:tbl>
    <w:p>
      <w:pPr>
        <w:pStyle w:val="63"/>
        <w:numPr>
          <w:ilvl w:val="0"/>
          <w:numId w:val="0"/>
        </w:numPr>
        <w:topLinePunct/>
        <w:spacing w:beforeLines="0" w:afterLines="0" w:line="360" w:lineRule="auto"/>
        <w:rPr>
          <w:rFonts w:hint="eastAsia" w:ascii="Times New Roman" w:eastAsia="宋体"/>
          <w:b/>
          <w:bCs/>
          <w:kern w:val="2"/>
          <w:szCs w:val="24"/>
        </w:rPr>
      </w:pPr>
    </w:p>
    <w:p>
      <w:pPr>
        <w:pStyle w:val="63"/>
        <w:numPr>
          <w:ilvl w:val="0"/>
          <w:numId w:val="0"/>
        </w:numPr>
        <w:topLinePunct/>
        <w:spacing w:beforeLines="0" w:afterLines="0" w:line="360" w:lineRule="auto"/>
        <w:rPr>
          <w:rFonts w:hint="eastAsia" w:ascii="Times New Roman" w:eastAsia="宋体"/>
          <w:b/>
          <w:bCs/>
          <w:kern w:val="2"/>
          <w:szCs w:val="24"/>
        </w:rPr>
      </w:pPr>
      <w:r>
        <w:rPr>
          <w:rFonts w:hint="eastAsia" w:ascii="Times New Roman" w:eastAsia="宋体"/>
          <w:b/>
          <w:bCs/>
          <w:kern w:val="2"/>
          <w:szCs w:val="24"/>
        </w:rPr>
        <w:t>热空气老化评价条件及试验方法</w:t>
      </w:r>
    </w:p>
    <w:tbl>
      <w:tblPr>
        <w:tblStyle w:val="24"/>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300"/>
        <w:gridCol w:w="1168"/>
        <w:gridCol w:w="638"/>
        <w:gridCol w:w="638"/>
        <w:gridCol w:w="3163"/>
        <w:gridCol w:w="160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9" w:hRule="atLeast"/>
          <w:jc w:val="center"/>
        </w:trPr>
        <w:tc>
          <w:tcPr>
            <w:tcW w:w="3746" w:type="dxa"/>
            <w:gridSpan w:val="4"/>
            <w:tcBorders>
              <w:tl2br w:val="nil"/>
              <w:tr2bl w:val="nil"/>
            </w:tcBorders>
            <w:shd w:val="clear" w:color="auto" w:fill="auto"/>
            <w:vAlign w:val="center"/>
          </w:tcPr>
          <w:p>
            <w:pPr>
              <w:pStyle w:val="35"/>
              <w:ind w:firstLine="0" w:firstLineChars="0"/>
              <w:jc w:val="center"/>
              <w:rPr>
                <w:rFonts w:ascii="Times New Roman"/>
                <w:b/>
                <w:bCs/>
                <w:sz w:val="20"/>
                <w:szCs w:val="20"/>
              </w:rPr>
            </w:pPr>
            <w:r>
              <w:rPr>
                <w:rFonts w:hint="default" w:ascii="Times New Roman"/>
                <w:b/>
                <w:bCs/>
                <w:sz w:val="20"/>
                <w:szCs w:val="20"/>
              </w:rPr>
              <w:t>使用场合</w:t>
            </w:r>
          </w:p>
        </w:tc>
        <w:tc>
          <w:tcPr>
            <w:tcW w:w="3166" w:type="dxa"/>
            <w:tcBorders>
              <w:tl2br w:val="nil"/>
              <w:tr2bl w:val="nil"/>
            </w:tcBorders>
            <w:shd w:val="clear" w:color="auto" w:fill="auto"/>
            <w:vAlign w:val="center"/>
          </w:tcPr>
          <w:p>
            <w:pPr>
              <w:pStyle w:val="35"/>
              <w:ind w:firstLine="0" w:firstLineChars="0"/>
              <w:jc w:val="center"/>
              <w:rPr>
                <w:rFonts w:ascii="Times New Roman"/>
                <w:b/>
                <w:bCs/>
                <w:sz w:val="20"/>
                <w:szCs w:val="20"/>
              </w:rPr>
            </w:pPr>
            <w:r>
              <w:rPr>
                <w:rFonts w:hint="default" w:ascii="Times New Roman"/>
                <w:b/>
                <w:bCs/>
                <w:sz w:val="20"/>
                <w:szCs w:val="20"/>
              </w:rPr>
              <w:t>评价条件：处理天数/d</w:t>
            </w:r>
          </w:p>
        </w:tc>
        <w:tc>
          <w:tcPr>
            <w:tcW w:w="1609" w:type="dxa"/>
            <w:tcBorders>
              <w:tl2br w:val="nil"/>
              <w:tr2bl w:val="nil"/>
            </w:tcBorders>
            <w:shd w:val="clear" w:color="auto" w:fill="auto"/>
            <w:vAlign w:val="center"/>
          </w:tcPr>
          <w:p>
            <w:pPr>
              <w:pStyle w:val="35"/>
              <w:ind w:firstLine="0" w:firstLineChars="0"/>
              <w:jc w:val="center"/>
              <w:rPr>
                <w:b/>
                <w:bCs/>
                <w:sz w:val="20"/>
                <w:szCs w:val="20"/>
              </w:rPr>
            </w:pPr>
            <w:r>
              <w:rPr>
                <w:rFonts w:hint="eastAsia"/>
                <w:b/>
                <w:bCs/>
                <w:sz w:val="20"/>
                <w:szCs w:val="20"/>
              </w:rPr>
              <w:t>试验方法</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1301" w:type="dxa"/>
            <w:vMerge w:val="restart"/>
            <w:tcBorders>
              <w:tl2br w:val="nil"/>
              <w:tr2bl w:val="nil"/>
            </w:tcBorders>
            <w:shd w:val="clear" w:color="auto" w:fill="auto"/>
            <w:vAlign w:val="center"/>
          </w:tcPr>
          <w:p>
            <w:pPr>
              <w:pStyle w:val="35"/>
              <w:ind w:firstLine="0" w:firstLineChars="0"/>
              <w:jc w:val="center"/>
              <w:rPr>
                <w:rFonts w:ascii="Times New Roman"/>
                <w:sz w:val="18"/>
                <w:szCs w:val="18"/>
              </w:rPr>
            </w:pPr>
            <w:r>
              <w:rPr>
                <w:rFonts w:hint="default" w:ascii="Times New Roman"/>
                <w:sz w:val="18"/>
                <w:szCs w:val="18"/>
              </w:rPr>
              <w:t>临时建筑L1</w:t>
            </w:r>
          </w:p>
        </w:tc>
        <w:tc>
          <w:tcPr>
            <w:tcW w:w="2445" w:type="dxa"/>
            <w:gridSpan w:val="3"/>
            <w:tcBorders>
              <w:tl2br w:val="nil"/>
              <w:tr2bl w:val="nil"/>
            </w:tcBorders>
            <w:shd w:val="clear" w:color="auto" w:fill="auto"/>
            <w:vAlign w:val="center"/>
          </w:tcPr>
          <w:p>
            <w:pPr>
              <w:pStyle w:val="35"/>
              <w:ind w:firstLine="0" w:firstLineChars="0"/>
              <w:jc w:val="center"/>
              <w:rPr>
                <w:rFonts w:ascii="Times New Roman"/>
                <w:sz w:val="18"/>
                <w:szCs w:val="18"/>
              </w:rPr>
            </w:pPr>
            <w:r>
              <w:rPr>
                <w:rFonts w:hint="default" w:ascii="Times New Roman"/>
                <w:sz w:val="18"/>
                <w:szCs w:val="18"/>
              </w:rPr>
              <w:t>TH1</w:t>
            </w:r>
          </w:p>
        </w:tc>
        <w:tc>
          <w:tcPr>
            <w:tcW w:w="3166" w:type="dxa"/>
            <w:tcBorders>
              <w:tl2br w:val="nil"/>
              <w:tr2bl w:val="nil"/>
            </w:tcBorders>
            <w:shd w:val="clear" w:color="auto" w:fill="auto"/>
            <w:vAlign w:val="center"/>
          </w:tcPr>
          <w:p>
            <w:pPr>
              <w:pStyle w:val="35"/>
              <w:ind w:firstLine="0" w:firstLineChars="0"/>
              <w:jc w:val="center"/>
              <w:rPr>
                <w:rFonts w:ascii="Times New Roman"/>
                <w:sz w:val="18"/>
                <w:szCs w:val="18"/>
              </w:rPr>
            </w:pPr>
            <w:r>
              <w:rPr>
                <w:rFonts w:hint="default" w:ascii="Times New Roman"/>
                <w:sz w:val="18"/>
                <w:szCs w:val="18"/>
              </w:rPr>
              <w:t>28</w:t>
            </w:r>
          </w:p>
        </w:tc>
        <w:tc>
          <w:tcPr>
            <w:tcW w:w="1609" w:type="dxa"/>
            <w:vMerge w:val="restart"/>
            <w:tcBorders>
              <w:tl2br w:val="nil"/>
              <w:tr2bl w:val="nil"/>
            </w:tcBorders>
            <w:shd w:val="clear" w:color="auto" w:fill="auto"/>
            <w:vAlign w:val="center"/>
          </w:tcPr>
          <w:p>
            <w:pPr>
              <w:pStyle w:val="35"/>
              <w:ind w:firstLine="0" w:firstLineChars="0"/>
              <w:jc w:val="center"/>
              <w:rPr>
                <w:rFonts w:ascii="Times New Roman"/>
                <w:sz w:val="18"/>
                <w:szCs w:val="18"/>
              </w:rPr>
            </w:pPr>
            <w:r>
              <w:rPr>
                <w:rFonts w:hint="default" w:ascii="Times New Roman"/>
                <w:sz w:val="18"/>
                <w:szCs w:val="18"/>
              </w:rPr>
              <w:t>按GB/T 18244-2000第4章</w:t>
            </w:r>
          </w:p>
          <w:p>
            <w:pPr>
              <w:pStyle w:val="35"/>
              <w:ind w:firstLine="0" w:firstLineChars="0"/>
              <w:jc w:val="center"/>
              <w:rPr>
                <w:sz w:val="18"/>
                <w:szCs w:val="18"/>
              </w:rPr>
            </w:pPr>
            <w:r>
              <w:rPr>
                <w:rFonts w:hint="default" w:ascii="Times New Roman"/>
                <w:sz w:val="18"/>
                <w:szCs w:val="18"/>
              </w:rPr>
              <w:t>（80±2）℃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1301" w:type="dxa"/>
            <w:vMerge w:val="continue"/>
            <w:tcBorders>
              <w:tl2br w:val="nil"/>
              <w:tr2bl w:val="nil"/>
            </w:tcBorders>
            <w:shd w:val="clear" w:color="auto" w:fill="auto"/>
            <w:vAlign w:val="center"/>
          </w:tcPr>
          <w:p>
            <w:pPr>
              <w:pStyle w:val="35"/>
              <w:ind w:firstLine="0" w:firstLineChars="0"/>
              <w:jc w:val="center"/>
              <w:rPr>
                <w:rFonts w:ascii="Times New Roman"/>
                <w:sz w:val="18"/>
                <w:szCs w:val="18"/>
              </w:rPr>
            </w:pPr>
          </w:p>
        </w:tc>
        <w:tc>
          <w:tcPr>
            <w:tcW w:w="2445" w:type="dxa"/>
            <w:gridSpan w:val="3"/>
            <w:tcBorders>
              <w:tl2br w:val="nil"/>
              <w:tr2bl w:val="nil"/>
            </w:tcBorders>
            <w:shd w:val="clear" w:color="auto" w:fill="auto"/>
            <w:vAlign w:val="center"/>
          </w:tcPr>
          <w:p>
            <w:pPr>
              <w:pStyle w:val="35"/>
              <w:ind w:firstLine="0" w:firstLineChars="0"/>
              <w:jc w:val="center"/>
              <w:rPr>
                <w:rFonts w:ascii="Times New Roman"/>
                <w:sz w:val="18"/>
                <w:szCs w:val="18"/>
              </w:rPr>
            </w:pPr>
            <w:r>
              <w:rPr>
                <w:rFonts w:hint="default" w:ascii="Times New Roman"/>
                <w:sz w:val="18"/>
                <w:szCs w:val="18"/>
              </w:rPr>
              <w:t>TH2</w:t>
            </w:r>
          </w:p>
        </w:tc>
        <w:tc>
          <w:tcPr>
            <w:tcW w:w="3166" w:type="dxa"/>
            <w:tcBorders>
              <w:tl2br w:val="nil"/>
              <w:tr2bl w:val="nil"/>
            </w:tcBorders>
            <w:shd w:val="clear" w:color="auto" w:fill="auto"/>
            <w:vAlign w:val="center"/>
          </w:tcPr>
          <w:p>
            <w:pPr>
              <w:pStyle w:val="35"/>
              <w:ind w:firstLine="0" w:firstLineChars="0"/>
              <w:jc w:val="center"/>
              <w:rPr>
                <w:rFonts w:ascii="Times New Roman"/>
                <w:sz w:val="18"/>
                <w:szCs w:val="18"/>
              </w:rPr>
            </w:pPr>
            <w:r>
              <w:rPr>
                <w:rFonts w:hint="default" w:ascii="Times New Roman"/>
                <w:sz w:val="18"/>
                <w:szCs w:val="18"/>
              </w:rPr>
              <w:t>56</w:t>
            </w:r>
          </w:p>
        </w:tc>
        <w:tc>
          <w:tcPr>
            <w:tcW w:w="1609" w:type="dxa"/>
            <w:vMerge w:val="continue"/>
            <w:tcBorders>
              <w:tl2br w:val="nil"/>
              <w:tr2bl w:val="nil"/>
            </w:tcBorders>
            <w:shd w:val="clear" w:color="auto" w:fill="auto"/>
            <w:vAlign w:val="center"/>
          </w:tcPr>
          <w:p>
            <w:pPr>
              <w:pStyle w:val="35"/>
              <w:ind w:firstLine="0" w:firstLineChars="0"/>
              <w:jc w:val="center"/>
              <w:rPr>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301" w:type="dxa"/>
            <w:vMerge w:val="restart"/>
            <w:tcBorders>
              <w:tl2br w:val="nil"/>
              <w:tr2bl w:val="nil"/>
            </w:tcBorders>
            <w:shd w:val="clear" w:color="auto" w:fill="auto"/>
            <w:vAlign w:val="center"/>
          </w:tcPr>
          <w:p>
            <w:pPr>
              <w:pStyle w:val="35"/>
              <w:ind w:firstLine="0" w:firstLineChars="0"/>
              <w:jc w:val="center"/>
              <w:rPr>
                <w:rFonts w:ascii="Times New Roman"/>
                <w:sz w:val="18"/>
                <w:szCs w:val="18"/>
              </w:rPr>
            </w:pPr>
            <w:r>
              <w:rPr>
                <w:rFonts w:hint="default" w:ascii="Times New Roman"/>
                <w:sz w:val="18"/>
                <w:szCs w:val="18"/>
              </w:rPr>
              <w:t>屋面R</w:t>
            </w:r>
          </w:p>
        </w:tc>
        <w:tc>
          <w:tcPr>
            <w:tcW w:w="2445" w:type="dxa"/>
            <w:gridSpan w:val="3"/>
            <w:tcBorders>
              <w:tl2br w:val="nil"/>
              <w:tr2bl w:val="nil"/>
            </w:tcBorders>
            <w:shd w:val="clear" w:color="auto" w:fill="auto"/>
            <w:vAlign w:val="center"/>
          </w:tcPr>
          <w:p>
            <w:pPr>
              <w:pStyle w:val="35"/>
              <w:ind w:firstLine="0" w:firstLineChars="0"/>
              <w:jc w:val="center"/>
              <w:rPr>
                <w:rFonts w:ascii="Times New Roman"/>
                <w:sz w:val="18"/>
                <w:szCs w:val="18"/>
              </w:rPr>
            </w:pPr>
            <w:r>
              <w:rPr>
                <w:rFonts w:hint="default" w:ascii="Times New Roman"/>
                <w:sz w:val="18"/>
                <w:szCs w:val="18"/>
              </w:rPr>
              <w:t>种植屋面Z</w:t>
            </w:r>
          </w:p>
        </w:tc>
        <w:tc>
          <w:tcPr>
            <w:tcW w:w="3166" w:type="dxa"/>
            <w:tcBorders>
              <w:tl2br w:val="nil"/>
              <w:tr2bl w:val="nil"/>
            </w:tcBorders>
            <w:shd w:val="clear" w:color="auto" w:fill="auto"/>
            <w:vAlign w:val="center"/>
          </w:tcPr>
          <w:p>
            <w:pPr>
              <w:pStyle w:val="35"/>
              <w:ind w:firstLine="0" w:firstLineChars="0"/>
              <w:jc w:val="center"/>
              <w:rPr>
                <w:rFonts w:ascii="Times New Roman"/>
                <w:sz w:val="18"/>
                <w:szCs w:val="18"/>
              </w:rPr>
            </w:pPr>
            <w:r>
              <w:rPr>
                <w:rFonts w:hint="default" w:ascii="Times New Roman"/>
                <w:sz w:val="18"/>
                <w:szCs w:val="18"/>
              </w:rPr>
              <w:t>200</w:t>
            </w:r>
          </w:p>
        </w:tc>
        <w:tc>
          <w:tcPr>
            <w:tcW w:w="1609" w:type="dxa"/>
            <w:vMerge w:val="continue"/>
            <w:tcBorders>
              <w:tl2br w:val="nil"/>
              <w:tr2bl w:val="nil"/>
            </w:tcBorders>
            <w:shd w:val="clear" w:color="auto" w:fill="auto"/>
            <w:vAlign w:val="center"/>
          </w:tcPr>
          <w:p>
            <w:pPr>
              <w:pStyle w:val="35"/>
              <w:ind w:firstLine="0" w:firstLineChars="0"/>
              <w:jc w:val="center"/>
              <w:rPr>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301" w:type="dxa"/>
            <w:vMerge w:val="continue"/>
            <w:tcBorders>
              <w:tl2br w:val="nil"/>
              <w:tr2bl w:val="nil"/>
            </w:tcBorders>
            <w:shd w:val="clear" w:color="auto" w:fill="auto"/>
            <w:vAlign w:val="center"/>
          </w:tcPr>
          <w:p>
            <w:pPr>
              <w:pStyle w:val="35"/>
              <w:ind w:firstLine="0" w:firstLineChars="0"/>
              <w:jc w:val="center"/>
              <w:rPr>
                <w:rFonts w:ascii="Times New Roman"/>
                <w:sz w:val="18"/>
                <w:szCs w:val="18"/>
              </w:rPr>
            </w:pPr>
          </w:p>
        </w:tc>
        <w:tc>
          <w:tcPr>
            <w:tcW w:w="1169" w:type="dxa"/>
            <w:vMerge w:val="restart"/>
            <w:tcBorders>
              <w:tl2br w:val="nil"/>
              <w:tr2bl w:val="nil"/>
            </w:tcBorders>
            <w:shd w:val="clear" w:color="auto" w:fill="auto"/>
            <w:vAlign w:val="center"/>
          </w:tcPr>
          <w:p>
            <w:pPr>
              <w:pStyle w:val="35"/>
              <w:ind w:firstLine="0" w:firstLineChars="0"/>
              <w:jc w:val="center"/>
              <w:rPr>
                <w:rFonts w:ascii="Times New Roman"/>
                <w:sz w:val="18"/>
                <w:szCs w:val="18"/>
              </w:rPr>
            </w:pPr>
            <w:r>
              <w:rPr>
                <w:rFonts w:hint="default" w:ascii="Times New Roman"/>
                <w:sz w:val="18"/>
                <w:szCs w:val="18"/>
              </w:rPr>
              <w:t>非种植屋面P</w:t>
            </w:r>
          </w:p>
        </w:tc>
        <w:tc>
          <w:tcPr>
            <w:tcW w:w="638" w:type="dxa"/>
            <w:vMerge w:val="restart"/>
            <w:tcBorders>
              <w:tl2br w:val="nil"/>
              <w:tr2bl w:val="nil"/>
            </w:tcBorders>
            <w:shd w:val="clear" w:color="auto" w:fill="auto"/>
            <w:vAlign w:val="center"/>
          </w:tcPr>
          <w:p>
            <w:pPr>
              <w:pStyle w:val="35"/>
              <w:ind w:firstLine="0" w:firstLineChars="0"/>
              <w:jc w:val="center"/>
              <w:rPr>
                <w:rFonts w:ascii="Times New Roman"/>
                <w:sz w:val="18"/>
                <w:szCs w:val="18"/>
              </w:rPr>
            </w:pPr>
            <w:r>
              <w:rPr>
                <w:rFonts w:hint="default" w:ascii="Times New Roman"/>
                <w:sz w:val="18"/>
                <w:szCs w:val="18"/>
              </w:rPr>
              <w:t>TH1</w:t>
            </w:r>
          </w:p>
        </w:tc>
        <w:tc>
          <w:tcPr>
            <w:tcW w:w="638" w:type="dxa"/>
            <w:tcBorders>
              <w:tl2br w:val="nil"/>
              <w:tr2bl w:val="nil"/>
            </w:tcBorders>
            <w:shd w:val="clear" w:color="auto" w:fill="auto"/>
            <w:vAlign w:val="center"/>
          </w:tcPr>
          <w:p>
            <w:pPr>
              <w:pStyle w:val="35"/>
              <w:ind w:firstLine="0" w:firstLineChars="0"/>
              <w:jc w:val="center"/>
              <w:rPr>
                <w:rFonts w:ascii="Times New Roman"/>
                <w:sz w:val="18"/>
                <w:szCs w:val="18"/>
              </w:rPr>
            </w:pPr>
            <w:r>
              <w:rPr>
                <w:rFonts w:hint="default" w:ascii="Times New Roman"/>
                <w:sz w:val="18"/>
                <w:szCs w:val="18"/>
              </w:rPr>
              <w:t>L</w:t>
            </w:r>
            <w:r>
              <w:rPr>
                <w:rFonts w:ascii="Times New Roman"/>
                <w:sz w:val="18"/>
                <w:szCs w:val="18"/>
              </w:rPr>
              <w:t>2</w:t>
            </w:r>
          </w:p>
        </w:tc>
        <w:tc>
          <w:tcPr>
            <w:tcW w:w="3166" w:type="dxa"/>
            <w:tcBorders>
              <w:tl2br w:val="nil"/>
              <w:tr2bl w:val="nil"/>
            </w:tcBorders>
            <w:shd w:val="clear" w:color="auto" w:fill="auto"/>
            <w:vAlign w:val="center"/>
          </w:tcPr>
          <w:p>
            <w:pPr>
              <w:pStyle w:val="35"/>
              <w:ind w:firstLine="0" w:firstLineChars="0"/>
              <w:jc w:val="center"/>
              <w:rPr>
                <w:rFonts w:ascii="Times New Roman"/>
                <w:sz w:val="18"/>
                <w:szCs w:val="18"/>
              </w:rPr>
            </w:pPr>
            <w:r>
              <w:rPr>
                <w:rFonts w:hint="default" w:ascii="Times New Roman"/>
                <w:sz w:val="18"/>
                <w:szCs w:val="18"/>
              </w:rPr>
              <w:t>1</w:t>
            </w:r>
            <w:r>
              <w:rPr>
                <w:rFonts w:ascii="Times New Roman"/>
                <w:sz w:val="18"/>
                <w:szCs w:val="18"/>
              </w:rPr>
              <w:t>00</w:t>
            </w:r>
          </w:p>
        </w:tc>
        <w:tc>
          <w:tcPr>
            <w:tcW w:w="1609" w:type="dxa"/>
            <w:vMerge w:val="continue"/>
            <w:tcBorders>
              <w:tl2br w:val="nil"/>
              <w:tr2bl w:val="nil"/>
            </w:tcBorders>
            <w:shd w:val="clear" w:color="auto" w:fill="auto"/>
            <w:vAlign w:val="center"/>
          </w:tcPr>
          <w:p>
            <w:pPr>
              <w:pStyle w:val="35"/>
              <w:ind w:firstLine="0" w:firstLineChars="0"/>
              <w:jc w:val="center"/>
              <w:rPr>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1301" w:type="dxa"/>
            <w:vMerge w:val="continue"/>
            <w:tcBorders>
              <w:tl2br w:val="nil"/>
              <w:tr2bl w:val="nil"/>
            </w:tcBorders>
            <w:shd w:val="clear" w:color="auto" w:fill="auto"/>
            <w:vAlign w:val="center"/>
          </w:tcPr>
          <w:p>
            <w:pPr>
              <w:pStyle w:val="35"/>
              <w:ind w:firstLine="0" w:firstLineChars="0"/>
              <w:jc w:val="center"/>
              <w:rPr>
                <w:rFonts w:ascii="Times New Roman"/>
                <w:sz w:val="18"/>
                <w:szCs w:val="18"/>
              </w:rPr>
            </w:pPr>
          </w:p>
        </w:tc>
        <w:tc>
          <w:tcPr>
            <w:tcW w:w="1169" w:type="dxa"/>
            <w:vMerge w:val="continue"/>
            <w:tcBorders>
              <w:tl2br w:val="nil"/>
              <w:tr2bl w:val="nil"/>
            </w:tcBorders>
            <w:shd w:val="clear" w:color="auto" w:fill="auto"/>
            <w:vAlign w:val="center"/>
          </w:tcPr>
          <w:p>
            <w:pPr>
              <w:pStyle w:val="35"/>
              <w:ind w:firstLine="0" w:firstLineChars="0"/>
              <w:jc w:val="center"/>
              <w:rPr>
                <w:rFonts w:hint="default" w:ascii="Times New Roman"/>
                <w:sz w:val="18"/>
                <w:szCs w:val="18"/>
              </w:rPr>
            </w:pPr>
          </w:p>
        </w:tc>
        <w:tc>
          <w:tcPr>
            <w:tcW w:w="638" w:type="dxa"/>
            <w:vMerge w:val="continue"/>
            <w:tcBorders>
              <w:tl2br w:val="nil"/>
              <w:tr2bl w:val="nil"/>
            </w:tcBorders>
            <w:shd w:val="clear" w:color="auto" w:fill="auto"/>
            <w:vAlign w:val="center"/>
          </w:tcPr>
          <w:p>
            <w:pPr>
              <w:pStyle w:val="35"/>
              <w:ind w:firstLine="0" w:firstLineChars="0"/>
              <w:jc w:val="center"/>
              <w:rPr>
                <w:rFonts w:hint="default" w:ascii="Times New Roman"/>
                <w:sz w:val="18"/>
                <w:szCs w:val="18"/>
              </w:rPr>
            </w:pPr>
          </w:p>
        </w:tc>
        <w:tc>
          <w:tcPr>
            <w:tcW w:w="638" w:type="dxa"/>
            <w:tcBorders>
              <w:tl2br w:val="nil"/>
              <w:tr2bl w:val="nil"/>
            </w:tcBorders>
            <w:shd w:val="clear" w:color="auto" w:fill="auto"/>
            <w:vAlign w:val="center"/>
          </w:tcPr>
          <w:p>
            <w:pPr>
              <w:pStyle w:val="35"/>
              <w:ind w:firstLine="0" w:firstLineChars="0"/>
              <w:jc w:val="center"/>
              <w:rPr>
                <w:rFonts w:ascii="Times New Roman"/>
                <w:sz w:val="18"/>
                <w:szCs w:val="18"/>
              </w:rPr>
            </w:pPr>
            <w:r>
              <w:rPr>
                <w:rFonts w:hint="default" w:ascii="Times New Roman"/>
                <w:sz w:val="18"/>
                <w:szCs w:val="18"/>
              </w:rPr>
              <w:t>L</w:t>
            </w:r>
            <w:r>
              <w:rPr>
                <w:rFonts w:ascii="Times New Roman"/>
                <w:sz w:val="18"/>
                <w:szCs w:val="18"/>
              </w:rPr>
              <w:t>3</w:t>
            </w:r>
          </w:p>
        </w:tc>
        <w:tc>
          <w:tcPr>
            <w:tcW w:w="3166" w:type="dxa"/>
            <w:tcBorders>
              <w:tl2br w:val="nil"/>
              <w:tr2bl w:val="nil"/>
            </w:tcBorders>
            <w:shd w:val="clear" w:color="auto" w:fill="auto"/>
            <w:vAlign w:val="center"/>
          </w:tcPr>
          <w:p>
            <w:pPr>
              <w:pStyle w:val="35"/>
              <w:ind w:firstLine="0" w:firstLineChars="0"/>
              <w:jc w:val="center"/>
              <w:rPr>
                <w:rFonts w:ascii="Times New Roman"/>
                <w:sz w:val="18"/>
                <w:szCs w:val="18"/>
              </w:rPr>
            </w:pPr>
            <w:r>
              <w:rPr>
                <w:rFonts w:ascii="Times New Roman"/>
                <w:sz w:val="18"/>
                <w:szCs w:val="18"/>
              </w:rPr>
              <w:t>1</w:t>
            </w:r>
            <w:r>
              <w:rPr>
                <w:rFonts w:hint="default" w:ascii="Times New Roman"/>
                <w:sz w:val="18"/>
                <w:szCs w:val="18"/>
              </w:rPr>
              <w:t>50</w:t>
            </w:r>
          </w:p>
        </w:tc>
        <w:tc>
          <w:tcPr>
            <w:tcW w:w="1609" w:type="dxa"/>
            <w:vMerge w:val="continue"/>
            <w:tcBorders>
              <w:tl2br w:val="nil"/>
              <w:tr2bl w:val="nil"/>
            </w:tcBorders>
            <w:shd w:val="clear" w:color="auto" w:fill="auto"/>
            <w:vAlign w:val="center"/>
          </w:tcPr>
          <w:p>
            <w:pPr>
              <w:pStyle w:val="35"/>
              <w:ind w:firstLine="0" w:firstLineChars="0"/>
              <w:jc w:val="center"/>
              <w:rPr>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1301" w:type="dxa"/>
            <w:vMerge w:val="continue"/>
            <w:tcBorders>
              <w:tl2br w:val="nil"/>
              <w:tr2bl w:val="nil"/>
            </w:tcBorders>
            <w:shd w:val="clear" w:color="auto" w:fill="auto"/>
            <w:vAlign w:val="center"/>
          </w:tcPr>
          <w:p>
            <w:pPr>
              <w:pStyle w:val="35"/>
              <w:ind w:firstLine="0" w:firstLineChars="0"/>
              <w:jc w:val="center"/>
              <w:rPr>
                <w:rFonts w:ascii="Times New Roman"/>
                <w:sz w:val="18"/>
                <w:szCs w:val="18"/>
              </w:rPr>
            </w:pPr>
          </w:p>
        </w:tc>
        <w:tc>
          <w:tcPr>
            <w:tcW w:w="1169" w:type="dxa"/>
            <w:vMerge w:val="continue"/>
            <w:tcBorders>
              <w:tl2br w:val="nil"/>
              <w:tr2bl w:val="nil"/>
            </w:tcBorders>
            <w:shd w:val="clear" w:color="auto" w:fill="auto"/>
            <w:vAlign w:val="center"/>
          </w:tcPr>
          <w:p>
            <w:pPr>
              <w:pStyle w:val="35"/>
              <w:ind w:firstLine="0" w:firstLineChars="0"/>
              <w:jc w:val="center"/>
              <w:rPr>
                <w:rFonts w:ascii="Times New Roman"/>
                <w:sz w:val="18"/>
                <w:szCs w:val="18"/>
              </w:rPr>
            </w:pPr>
          </w:p>
        </w:tc>
        <w:tc>
          <w:tcPr>
            <w:tcW w:w="638" w:type="dxa"/>
            <w:vMerge w:val="restart"/>
            <w:tcBorders>
              <w:tl2br w:val="nil"/>
              <w:tr2bl w:val="nil"/>
            </w:tcBorders>
            <w:shd w:val="clear" w:color="auto" w:fill="auto"/>
            <w:vAlign w:val="center"/>
          </w:tcPr>
          <w:p>
            <w:pPr>
              <w:pStyle w:val="35"/>
              <w:ind w:firstLine="0" w:firstLineChars="0"/>
              <w:jc w:val="center"/>
              <w:rPr>
                <w:rFonts w:ascii="Times New Roman"/>
                <w:sz w:val="18"/>
                <w:szCs w:val="18"/>
              </w:rPr>
            </w:pPr>
            <w:r>
              <w:rPr>
                <w:rFonts w:hint="default" w:ascii="Times New Roman"/>
                <w:sz w:val="18"/>
                <w:szCs w:val="18"/>
              </w:rPr>
              <w:t>TH2</w:t>
            </w:r>
          </w:p>
        </w:tc>
        <w:tc>
          <w:tcPr>
            <w:tcW w:w="638" w:type="dxa"/>
            <w:tcBorders>
              <w:tl2br w:val="nil"/>
              <w:tr2bl w:val="nil"/>
            </w:tcBorders>
            <w:shd w:val="clear" w:color="auto" w:fill="auto"/>
            <w:vAlign w:val="center"/>
          </w:tcPr>
          <w:p>
            <w:pPr>
              <w:pStyle w:val="35"/>
              <w:ind w:firstLine="0" w:firstLineChars="0"/>
              <w:jc w:val="center"/>
              <w:rPr>
                <w:rFonts w:ascii="Times New Roman"/>
                <w:sz w:val="18"/>
                <w:szCs w:val="18"/>
              </w:rPr>
            </w:pPr>
            <w:r>
              <w:rPr>
                <w:rFonts w:hint="default" w:ascii="Times New Roman"/>
                <w:sz w:val="18"/>
                <w:szCs w:val="18"/>
              </w:rPr>
              <w:t>L</w:t>
            </w:r>
            <w:r>
              <w:rPr>
                <w:rFonts w:ascii="Times New Roman"/>
                <w:sz w:val="18"/>
                <w:szCs w:val="18"/>
              </w:rPr>
              <w:t>2</w:t>
            </w:r>
          </w:p>
        </w:tc>
        <w:tc>
          <w:tcPr>
            <w:tcW w:w="3166" w:type="dxa"/>
            <w:tcBorders>
              <w:tl2br w:val="nil"/>
              <w:tr2bl w:val="nil"/>
            </w:tcBorders>
            <w:shd w:val="clear" w:color="auto" w:fill="auto"/>
            <w:vAlign w:val="center"/>
          </w:tcPr>
          <w:p>
            <w:pPr>
              <w:pStyle w:val="35"/>
              <w:ind w:firstLine="0" w:firstLineChars="0"/>
              <w:jc w:val="center"/>
              <w:rPr>
                <w:rFonts w:ascii="Times New Roman"/>
                <w:sz w:val="18"/>
                <w:szCs w:val="18"/>
              </w:rPr>
            </w:pPr>
            <w:r>
              <w:rPr>
                <w:rFonts w:hint="default" w:ascii="Times New Roman"/>
                <w:sz w:val="18"/>
                <w:szCs w:val="18"/>
              </w:rPr>
              <w:t>1</w:t>
            </w:r>
            <w:r>
              <w:rPr>
                <w:rFonts w:ascii="Times New Roman"/>
                <w:sz w:val="18"/>
                <w:szCs w:val="18"/>
              </w:rPr>
              <w:t>50</w:t>
            </w:r>
          </w:p>
        </w:tc>
        <w:tc>
          <w:tcPr>
            <w:tcW w:w="1609" w:type="dxa"/>
            <w:vMerge w:val="continue"/>
            <w:tcBorders>
              <w:tl2br w:val="nil"/>
              <w:tr2bl w:val="nil"/>
            </w:tcBorders>
            <w:shd w:val="clear" w:color="auto" w:fill="auto"/>
            <w:vAlign w:val="center"/>
          </w:tcPr>
          <w:p>
            <w:pPr>
              <w:pStyle w:val="35"/>
              <w:ind w:firstLine="0" w:firstLineChars="0"/>
              <w:jc w:val="center"/>
              <w:rPr>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1301" w:type="dxa"/>
            <w:vMerge w:val="continue"/>
            <w:tcBorders>
              <w:bottom w:val="single" w:color="000000" w:sz="12" w:space="0"/>
              <w:tl2br w:val="nil"/>
              <w:tr2bl w:val="nil"/>
            </w:tcBorders>
            <w:shd w:val="clear" w:color="auto" w:fill="auto"/>
            <w:vAlign w:val="center"/>
          </w:tcPr>
          <w:p>
            <w:pPr>
              <w:pStyle w:val="35"/>
              <w:ind w:firstLine="0" w:firstLineChars="0"/>
              <w:jc w:val="center"/>
              <w:rPr>
                <w:rFonts w:ascii="Times New Roman"/>
                <w:sz w:val="18"/>
                <w:szCs w:val="18"/>
              </w:rPr>
            </w:pPr>
          </w:p>
        </w:tc>
        <w:tc>
          <w:tcPr>
            <w:tcW w:w="1169" w:type="dxa"/>
            <w:vMerge w:val="continue"/>
            <w:tcBorders>
              <w:bottom w:val="single" w:color="000000" w:sz="12" w:space="0"/>
              <w:tl2br w:val="nil"/>
              <w:tr2bl w:val="nil"/>
            </w:tcBorders>
            <w:shd w:val="clear" w:color="auto" w:fill="auto"/>
            <w:vAlign w:val="center"/>
          </w:tcPr>
          <w:p>
            <w:pPr>
              <w:pStyle w:val="35"/>
              <w:ind w:firstLine="0" w:firstLineChars="0"/>
              <w:jc w:val="center"/>
              <w:rPr>
                <w:rFonts w:ascii="Times New Roman"/>
                <w:sz w:val="18"/>
                <w:szCs w:val="18"/>
              </w:rPr>
            </w:pPr>
          </w:p>
        </w:tc>
        <w:tc>
          <w:tcPr>
            <w:tcW w:w="638" w:type="dxa"/>
            <w:vMerge w:val="continue"/>
            <w:tcBorders>
              <w:bottom w:val="single" w:color="000000" w:sz="12" w:space="0"/>
              <w:tl2br w:val="nil"/>
              <w:tr2bl w:val="nil"/>
            </w:tcBorders>
            <w:shd w:val="clear" w:color="auto" w:fill="auto"/>
            <w:vAlign w:val="center"/>
          </w:tcPr>
          <w:p>
            <w:pPr>
              <w:pStyle w:val="35"/>
              <w:ind w:firstLine="0" w:firstLineChars="0"/>
              <w:jc w:val="center"/>
              <w:rPr>
                <w:rFonts w:hint="default" w:ascii="Times New Roman"/>
                <w:sz w:val="18"/>
                <w:szCs w:val="18"/>
              </w:rPr>
            </w:pPr>
          </w:p>
        </w:tc>
        <w:tc>
          <w:tcPr>
            <w:tcW w:w="638" w:type="dxa"/>
            <w:tcBorders>
              <w:bottom w:val="single" w:color="000000" w:sz="12" w:space="0"/>
              <w:tl2br w:val="nil"/>
              <w:tr2bl w:val="nil"/>
            </w:tcBorders>
            <w:shd w:val="clear" w:color="auto" w:fill="auto"/>
            <w:vAlign w:val="center"/>
          </w:tcPr>
          <w:p>
            <w:pPr>
              <w:pStyle w:val="35"/>
              <w:ind w:firstLine="0" w:firstLineChars="0"/>
              <w:jc w:val="center"/>
              <w:rPr>
                <w:rFonts w:ascii="Times New Roman"/>
                <w:sz w:val="18"/>
                <w:szCs w:val="18"/>
              </w:rPr>
            </w:pPr>
            <w:r>
              <w:rPr>
                <w:rFonts w:hint="default" w:ascii="Times New Roman"/>
                <w:sz w:val="18"/>
                <w:szCs w:val="18"/>
              </w:rPr>
              <w:t>L</w:t>
            </w:r>
            <w:r>
              <w:rPr>
                <w:rFonts w:ascii="Times New Roman"/>
                <w:sz w:val="18"/>
                <w:szCs w:val="18"/>
              </w:rPr>
              <w:t>3</w:t>
            </w:r>
          </w:p>
        </w:tc>
        <w:tc>
          <w:tcPr>
            <w:tcW w:w="3166" w:type="dxa"/>
            <w:tcBorders>
              <w:bottom w:val="single" w:color="000000" w:sz="12" w:space="0"/>
              <w:tl2br w:val="nil"/>
              <w:tr2bl w:val="nil"/>
            </w:tcBorders>
            <w:shd w:val="clear" w:color="auto" w:fill="auto"/>
            <w:vAlign w:val="center"/>
          </w:tcPr>
          <w:p>
            <w:pPr>
              <w:pStyle w:val="35"/>
              <w:ind w:firstLine="0" w:firstLineChars="0"/>
              <w:jc w:val="center"/>
              <w:rPr>
                <w:rFonts w:ascii="Times New Roman"/>
                <w:sz w:val="18"/>
                <w:szCs w:val="18"/>
              </w:rPr>
            </w:pPr>
            <w:r>
              <w:rPr>
                <w:rFonts w:ascii="Times New Roman"/>
                <w:sz w:val="18"/>
                <w:szCs w:val="18"/>
              </w:rPr>
              <w:t>2</w:t>
            </w:r>
            <w:r>
              <w:rPr>
                <w:rFonts w:hint="default" w:ascii="Times New Roman"/>
                <w:sz w:val="18"/>
                <w:szCs w:val="18"/>
              </w:rPr>
              <w:t>00</w:t>
            </w:r>
          </w:p>
        </w:tc>
        <w:tc>
          <w:tcPr>
            <w:tcW w:w="1609" w:type="dxa"/>
            <w:vMerge w:val="continue"/>
            <w:tcBorders>
              <w:bottom w:val="single" w:color="000000" w:sz="12" w:space="0"/>
              <w:tl2br w:val="nil"/>
              <w:tr2bl w:val="nil"/>
            </w:tcBorders>
            <w:shd w:val="clear" w:color="auto" w:fill="auto"/>
            <w:vAlign w:val="center"/>
          </w:tcPr>
          <w:p>
            <w:pPr>
              <w:pStyle w:val="35"/>
              <w:ind w:firstLine="0" w:firstLineChars="0"/>
              <w:jc w:val="center"/>
              <w:rPr>
                <w:sz w:val="18"/>
                <w:szCs w:val="18"/>
              </w:rPr>
            </w:pPr>
          </w:p>
        </w:tc>
      </w:tr>
    </w:tbl>
    <w:p>
      <w:pPr>
        <w:spacing w:line="440" w:lineRule="exact"/>
        <w:ind w:firstLine="431" w:firstLineChars="196"/>
        <w:jc w:val="left"/>
        <w:rPr>
          <w:rFonts w:hint="eastAsia"/>
          <w:b w:val="0"/>
          <w:bCs w:val="0"/>
          <w:sz w:val="22"/>
          <w:szCs w:val="22"/>
          <w:lang w:eastAsia="zh-CN"/>
        </w:rPr>
      </w:pPr>
      <w:r>
        <w:rPr>
          <w:rFonts w:hint="eastAsia"/>
          <w:sz w:val="22"/>
          <w:szCs w:val="22"/>
          <w:lang w:eastAsia="zh-CN"/>
        </w:rPr>
        <w:t>本次选取</w:t>
      </w:r>
      <w:r>
        <w:rPr>
          <w:rFonts w:hint="eastAsia"/>
          <w:sz w:val="22"/>
          <w:szCs w:val="22"/>
          <w:lang w:val="en-US" w:eastAsia="zh-CN"/>
        </w:rPr>
        <w:t>PVC、TPO、EPDM、KEE等高分子防水卷材进行</w:t>
      </w:r>
      <w:r>
        <w:rPr>
          <w:rFonts w:hint="eastAsia"/>
          <w:sz w:val="22"/>
          <w:szCs w:val="22"/>
        </w:rPr>
        <w:t>验证试验，先后结合了</w:t>
      </w:r>
      <w:r>
        <w:rPr>
          <w:rFonts w:hint="eastAsia"/>
          <w:sz w:val="22"/>
          <w:szCs w:val="22"/>
          <w:lang w:eastAsia="zh-CN"/>
        </w:rPr>
        <w:t>全文强制性标准</w:t>
      </w:r>
      <w:r>
        <w:rPr>
          <w:rFonts w:hint="eastAsia"/>
          <w:sz w:val="22"/>
          <w:szCs w:val="22"/>
        </w:rPr>
        <w:t>《建筑与市政工程防水通用规范》合规性验证项目、推荐性标准GB/T 18244《建筑防水材料老化试验方法》修订项目、强制性标准GB《建筑防水卷材安全和通用技术规范》制定项目、防水协会团体标准《高性能改性沥青防水卷材》制定项目等验证试验工作，很多涉及耐久性的验证数据相通。</w:t>
      </w:r>
    </w:p>
    <w:p>
      <w:pPr>
        <w:spacing w:line="440" w:lineRule="exact"/>
        <w:ind w:firstLine="431" w:firstLineChars="196"/>
        <w:jc w:val="left"/>
        <w:rPr>
          <w:rFonts w:hint="eastAsia" w:eastAsia="宋体"/>
          <w:sz w:val="22"/>
          <w:szCs w:val="22"/>
          <w:lang w:val="en-US" w:eastAsia="zh-CN"/>
        </w:rPr>
      </w:pPr>
      <w:r>
        <w:rPr>
          <w:rFonts w:hint="eastAsia"/>
          <w:sz w:val="22"/>
          <w:szCs w:val="22"/>
        </w:rPr>
        <w:t>人工气候加速老化</w:t>
      </w:r>
      <w:r>
        <w:rPr>
          <w:rFonts w:hint="eastAsia"/>
          <w:sz w:val="22"/>
          <w:szCs w:val="22"/>
          <w:lang w:eastAsia="zh-CN"/>
        </w:rPr>
        <w:t>使用</w:t>
      </w:r>
      <w:r>
        <w:rPr>
          <w:rFonts w:hint="eastAsia"/>
          <w:sz w:val="22"/>
          <w:szCs w:val="22"/>
        </w:rPr>
        <w:t>氙弧灯试验方法</w:t>
      </w:r>
      <w:r>
        <w:rPr>
          <w:rFonts w:hint="eastAsia"/>
          <w:sz w:val="22"/>
          <w:szCs w:val="22"/>
          <w:lang w:eastAsia="zh-CN"/>
        </w:rPr>
        <w:t>，分别进行</w:t>
      </w:r>
      <w:r>
        <w:rPr>
          <w:rFonts w:hint="eastAsia"/>
          <w:sz w:val="22"/>
          <w:szCs w:val="22"/>
          <w:lang w:val="en-US" w:eastAsia="zh-CN"/>
        </w:rPr>
        <w:t>2500h、5000h、10000h的老化测试。</w:t>
      </w:r>
    </w:p>
    <w:p>
      <w:pPr>
        <w:pStyle w:val="63"/>
        <w:numPr>
          <w:ilvl w:val="0"/>
          <w:numId w:val="0"/>
        </w:numPr>
        <w:topLinePunct/>
        <w:spacing w:beforeLines="0" w:afterLines="0" w:line="360" w:lineRule="auto"/>
        <w:rPr>
          <w:rFonts w:hint="eastAsia" w:ascii="Times New Roman" w:eastAsia="宋体"/>
          <w:b/>
          <w:bCs/>
          <w:kern w:val="2"/>
          <w:szCs w:val="24"/>
          <w:lang w:eastAsia="zh-CN"/>
        </w:rPr>
      </w:pPr>
      <w:r>
        <w:rPr>
          <w:rFonts w:hint="eastAsia" w:ascii="Times New Roman" w:eastAsia="宋体"/>
          <w:b/>
          <w:bCs/>
          <w:kern w:val="2"/>
          <w:szCs w:val="24"/>
        </w:rPr>
        <w:t>高分子防水卷材试验结果2500h氙灯</w:t>
      </w:r>
      <w:r>
        <w:rPr>
          <w:rFonts w:hint="eastAsia" w:ascii="Times New Roman" w:eastAsia="宋体"/>
          <w:b/>
          <w:bCs/>
          <w:kern w:val="2"/>
          <w:szCs w:val="24"/>
          <w:lang w:eastAsia="zh-CN"/>
        </w:rPr>
        <w:t>结果</w:t>
      </w:r>
    </w:p>
    <w:tbl>
      <w:tblPr>
        <w:tblStyle w:val="24"/>
        <w:tblW w:w="47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82"/>
        <w:gridCol w:w="755"/>
        <w:gridCol w:w="1017"/>
        <w:gridCol w:w="765"/>
        <w:gridCol w:w="1251"/>
        <w:gridCol w:w="1201"/>
        <w:gridCol w:w="1231"/>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945" w:type="pct"/>
            <w:gridSpan w:val="4"/>
            <w:tcBorders>
              <w:top w:val="single" w:color="auto" w:sz="12" w:space="0"/>
              <w:left w:val="single" w:color="auto" w:sz="12"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b/>
                <w:bCs/>
                <w:color w:val="000000"/>
                <w:kern w:val="0"/>
                <w:sz w:val="20"/>
                <w:szCs w:val="20"/>
              </w:rPr>
            </w:pPr>
            <w:r>
              <w:rPr>
                <w:rFonts w:hint="default" w:ascii="Times New Roman" w:hAnsi="Times New Roman" w:cs="Times New Roman"/>
                <w:b/>
                <w:bCs/>
                <w:color w:val="000000"/>
                <w:kern w:val="0"/>
                <w:sz w:val="20"/>
                <w:szCs w:val="20"/>
              </w:rPr>
              <w:t>产品种类</w:t>
            </w:r>
          </w:p>
        </w:tc>
        <w:tc>
          <w:tcPr>
            <w:tcW w:w="780" w:type="pct"/>
            <w:tcBorders>
              <w:top w:val="single" w:color="auto" w:sz="12"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b/>
                <w:bCs/>
                <w:color w:val="000000"/>
                <w:kern w:val="0"/>
                <w:sz w:val="20"/>
                <w:szCs w:val="20"/>
              </w:rPr>
            </w:pPr>
            <w:r>
              <w:rPr>
                <w:rFonts w:ascii="Times New Roman" w:hAnsi="Times New Roman" w:cs="Times New Roman"/>
                <w:b/>
                <w:bCs/>
                <w:color w:val="000000"/>
                <w:kern w:val="0"/>
                <w:sz w:val="20"/>
                <w:szCs w:val="20"/>
              </w:rPr>
              <w:t xml:space="preserve">PVC </w:t>
            </w:r>
          </w:p>
        </w:tc>
        <w:tc>
          <w:tcPr>
            <w:tcW w:w="749" w:type="pct"/>
            <w:tcBorders>
              <w:top w:val="single" w:color="auto" w:sz="12"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b/>
                <w:bCs/>
                <w:color w:val="000000"/>
                <w:kern w:val="0"/>
                <w:sz w:val="20"/>
                <w:szCs w:val="20"/>
              </w:rPr>
            </w:pPr>
            <w:r>
              <w:rPr>
                <w:rFonts w:ascii="Times New Roman" w:hAnsi="Times New Roman" w:cs="Times New Roman"/>
                <w:b/>
                <w:bCs/>
                <w:color w:val="000000"/>
                <w:kern w:val="0"/>
                <w:sz w:val="20"/>
                <w:szCs w:val="20"/>
              </w:rPr>
              <w:t>PVC</w:t>
            </w:r>
          </w:p>
        </w:tc>
        <w:tc>
          <w:tcPr>
            <w:tcW w:w="767" w:type="pct"/>
            <w:tcBorders>
              <w:top w:val="single" w:color="auto" w:sz="12"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b/>
                <w:bCs/>
                <w:color w:val="000000"/>
                <w:kern w:val="0"/>
                <w:sz w:val="20"/>
                <w:szCs w:val="20"/>
              </w:rPr>
            </w:pPr>
            <w:r>
              <w:rPr>
                <w:rFonts w:ascii="Times New Roman" w:hAnsi="Times New Roman" w:cs="Times New Roman"/>
                <w:b/>
                <w:bCs/>
                <w:color w:val="000000"/>
                <w:kern w:val="0"/>
                <w:sz w:val="20"/>
                <w:szCs w:val="20"/>
              </w:rPr>
              <w:t>PVC</w:t>
            </w:r>
          </w:p>
        </w:tc>
        <w:tc>
          <w:tcPr>
            <w:tcW w:w="757" w:type="pct"/>
            <w:tcBorders>
              <w:top w:val="single" w:color="auto" w:sz="12" w:space="0"/>
              <w:left w:val="single" w:color="auto" w:sz="4" w:space="0"/>
              <w:bottom w:val="single" w:color="auto" w:sz="4" w:space="0"/>
              <w:right w:val="single" w:color="auto" w:sz="12" w:space="0"/>
            </w:tcBorders>
            <w:shd w:val="clear" w:color="auto" w:fill="auto"/>
            <w:vAlign w:val="center"/>
          </w:tcPr>
          <w:p>
            <w:pPr>
              <w:widowControl/>
              <w:topLinePunct/>
              <w:spacing w:line="240" w:lineRule="exact"/>
              <w:jc w:val="center"/>
              <w:rPr>
                <w:rFonts w:ascii="Times New Roman" w:hAnsi="Times New Roman" w:cs="Times New Roman"/>
                <w:b/>
                <w:bCs/>
                <w:color w:val="000000"/>
                <w:kern w:val="0"/>
                <w:sz w:val="20"/>
                <w:szCs w:val="20"/>
              </w:rPr>
            </w:pPr>
            <w:r>
              <w:rPr>
                <w:rFonts w:ascii="Times New Roman" w:hAnsi="Times New Roman" w:cs="Times New Roman"/>
                <w:b/>
                <w:bCs/>
                <w:color w:val="000000"/>
                <w:kern w:val="0"/>
                <w:sz w:val="20"/>
                <w:szCs w:val="20"/>
              </w:rPr>
              <w:t>TPO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945" w:type="pct"/>
            <w:gridSpan w:val="4"/>
            <w:tcBorders>
              <w:top w:val="single" w:color="auto" w:sz="4" w:space="0"/>
              <w:left w:val="single" w:color="auto" w:sz="12"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b/>
                <w:bCs/>
                <w:color w:val="000000"/>
                <w:kern w:val="0"/>
                <w:sz w:val="20"/>
                <w:szCs w:val="20"/>
              </w:rPr>
            </w:pPr>
            <w:r>
              <w:rPr>
                <w:rFonts w:hint="default" w:ascii="Times New Roman" w:hAnsi="Times New Roman" w:cs="Times New Roman"/>
                <w:b/>
                <w:bCs/>
                <w:color w:val="000000"/>
                <w:kern w:val="0"/>
                <w:sz w:val="20"/>
                <w:szCs w:val="20"/>
              </w:rPr>
              <w:t>规格型号</w:t>
            </w:r>
          </w:p>
        </w:tc>
        <w:tc>
          <w:tcPr>
            <w:tcW w:w="78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opLinePunct/>
              <w:spacing w:line="240" w:lineRule="exact"/>
              <w:jc w:val="center"/>
              <w:rPr>
                <w:rFonts w:ascii="Times New Roman" w:hAnsi="Times New Roman" w:cs="Times New Roman"/>
                <w:b/>
                <w:bCs/>
                <w:color w:val="000000"/>
                <w:kern w:val="0"/>
                <w:sz w:val="20"/>
                <w:szCs w:val="20"/>
              </w:rPr>
            </w:pPr>
            <w:r>
              <w:rPr>
                <w:rFonts w:ascii="Times New Roman" w:hAnsi="Times New Roman" w:cs="Times New Roman"/>
                <w:b/>
                <w:bCs/>
                <w:color w:val="000000"/>
                <w:kern w:val="0"/>
                <w:sz w:val="20"/>
                <w:szCs w:val="20"/>
              </w:rPr>
              <w:t>H 1.2</w:t>
            </w:r>
          </w:p>
        </w:tc>
        <w:tc>
          <w:tcPr>
            <w:tcW w:w="74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opLinePunct/>
              <w:spacing w:line="240" w:lineRule="exact"/>
              <w:jc w:val="center"/>
              <w:rPr>
                <w:rFonts w:ascii="Times New Roman" w:hAnsi="Times New Roman" w:cs="Times New Roman"/>
                <w:b/>
                <w:bCs/>
                <w:color w:val="000000"/>
                <w:kern w:val="0"/>
                <w:sz w:val="20"/>
                <w:szCs w:val="20"/>
              </w:rPr>
            </w:pPr>
            <w:r>
              <w:rPr>
                <w:rFonts w:ascii="Times New Roman" w:hAnsi="Times New Roman" w:cs="Times New Roman"/>
                <w:b/>
                <w:bCs/>
                <w:color w:val="000000"/>
                <w:kern w:val="0"/>
                <w:sz w:val="20"/>
                <w:szCs w:val="20"/>
              </w:rPr>
              <w:t>H 1.2</w:t>
            </w:r>
          </w:p>
        </w:tc>
        <w:tc>
          <w:tcPr>
            <w:tcW w:w="76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opLinePunct/>
              <w:spacing w:line="240" w:lineRule="exact"/>
              <w:jc w:val="center"/>
              <w:rPr>
                <w:rFonts w:ascii="Times New Roman" w:hAnsi="Times New Roman" w:cs="Times New Roman"/>
                <w:b/>
                <w:bCs/>
                <w:color w:val="000000"/>
                <w:kern w:val="0"/>
                <w:sz w:val="20"/>
                <w:szCs w:val="20"/>
              </w:rPr>
            </w:pPr>
            <w:r>
              <w:rPr>
                <w:rFonts w:ascii="Times New Roman" w:hAnsi="Times New Roman" w:cs="Times New Roman"/>
                <w:b/>
                <w:bCs/>
                <w:color w:val="000000"/>
                <w:kern w:val="0"/>
                <w:sz w:val="20"/>
                <w:szCs w:val="20"/>
              </w:rPr>
              <w:t>H 1.2</w:t>
            </w:r>
          </w:p>
        </w:tc>
        <w:tc>
          <w:tcPr>
            <w:tcW w:w="757" w:type="pct"/>
            <w:tcBorders>
              <w:top w:val="single" w:color="auto" w:sz="4" w:space="0"/>
              <w:left w:val="single" w:color="auto" w:sz="4" w:space="0"/>
              <w:bottom w:val="single" w:color="auto" w:sz="4" w:space="0"/>
              <w:right w:val="single" w:color="auto" w:sz="12" w:space="0"/>
            </w:tcBorders>
            <w:shd w:val="clear" w:color="auto" w:fill="auto"/>
            <w:noWrap/>
            <w:vAlign w:val="center"/>
          </w:tcPr>
          <w:p>
            <w:pPr>
              <w:widowControl/>
              <w:topLinePunct/>
              <w:spacing w:line="240" w:lineRule="exact"/>
              <w:jc w:val="center"/>
              <w:rPr>
                <w:rFonts w:ascii="Times New Roman" w:hAnsi="Times New Roman" w:cs="Times New Roman"/>
                <w:b/>
                <w:bCs/>
                <w:color w:val="000000"/>
                <w:kern w:val="0"/>
                <w:sz w:val="20"/>
                <w:szCs w:val="20"/>
              </w:rPr>
            </w:pPr>
            <w:r>
              <w:rPr>
                <w:rFonts w:ascii="Times New Roman" w:hAnsi="Times New Roman" w:cs="Times New Roman"/>
                <w:b/>
                <w:bCs/>
                <w:color w:val="000000"/>
                <w:kern w:val="0"/>
                <w:sz w:val="20"/>
                <w:szCs w:val="20"/>
              </w:rPr>
              <w:t>P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34" w:type="pct"/>
            <w:gridSpan w:val="2"/>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原始数值</w:t>
            </w:r>
          </w:p>
        </w:tc>
        <w:tc>
          <w:tcPr>
            <w:tcW w:w="63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拉伸强度（</w:t>
            </w:r>
            <w:r>
              <w:rPr>
                <w:rFonts w:ascii="Times New Roman" w:hAnsi="Times New Roman" w:cs="Times New Roman"/>
                <w:color w:val="000000"/>
                <w:kern w:val="0"/>
                <w:sz w:val="18"/>
                <w:szCs w:val="18"/>
              </w:rPr>
              <w:t>M</w:t>
            </w:r>
            <w:r>
              <w:rPr>
                <w:rFonts w:hint="default" w:ascii="Times New Roman" w:hAnsi="Times New Roman" w:cs="Times New Roman"/>
                <w:color w:val="000000"/>
                <w:kern w:val="0"/>
                <w:sz w:val="18"/>
                <w:szCs w:val="18"/>
              </w:rPr>
              <w:t>P</w:t>
            </w:r>
            <w:r>
              <w:rPr>
                <w:rFonts w:ascii="Times New Roman" w:hAnsi="Times New Roman" w:cs="Times New Roman"/>
                <w:color w:val="000000"/>
                <w:kern w:val="0"/>
                <w:sz w:val="18"/>
                <w:szCs w:val="18"/>
              </w:rPr>
              <w:t>a</w:t>
            </w:r>
            <w:r>
              <w:rPr>
                <w:rFonts w:hint="default" w:ascii="Times New Roman" w:hAnsi="Times New Roman" w:cs="Times New Roman"/>
                <w:color w:val="000000"/>
                <w:kern w:val="0"/>
                <w:sz w:val="18"/>
                <w:szCs w:val="18"/>
              </w:rPr>
              <w:t>）</w:t>
            </w:r>
          </w:p>
        </w:tc>
        <w:tc>
          <w:tcPr>
            <w:tcW w:w="47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纵向</w:t>
            </w:r>
          </w:p>
        </w:tc>
        <w:tc>
          <w:tcPr>
            <w:tcW w:w="78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17.56</w:t>
            </w:r>
          </w:p>
        </w:tc>
        <w:tc>
          <w:tcPr>
            <w:tcW w:w="74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19.22</w:t>
            </w:r>
          </w:p>
        </w:tc>
        <w:tc>
          <w:tcPr>
            <w:tcW w:w="76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17.58</w:t>
            </w:r>
          </w:p>
        </w:tc>
        <w:tc>
          <w:tcPr>
            <w:tcW w:w="757" w:type="pct"/>
            <w:tcBorders>
              <w:top w:val="single" w:color="auto" w:sz="4" w:space="0"/>
              <w:left w:val="single" w:color="auto" w:sz="4" w:space="0"/>
              <w:bottom w:val="single" w:color="auto" w:sz="4" w:space="0"/>
              <w:right w:val="single" w:color="auto" w:sz="12" w:space="0"/>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347.03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34" w:type="pct"/>
            <w:gridSpan w:val="2"/>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6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47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横向</w:t>
            </w:r>
          </w:p>
        </w:tc>
        <w:tc>
          <w:tcPr>
            <w:tcW w:w="78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18.25</w:t>
            </w:r>
          </w:p>
        </w:tc>
        <w:tc>
          <w:tcPr>
            <w:tcW w:w="74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16.29</w:t>
            </w:r>
          </w:p>
        </w:tc>
        <w:tc>
          <w:tcPr>
            <w:tcW w:w="76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15.58</w:t>
            </w:r>
          </w:p>
        </w:tc>
        <w:tc>
          <w:tcPr>
            <w:tcW w:w="757" w:type="pct"/>
            <w:tcBorders>
              <w:top w:val="single" w:color="auto" w:sz="4" w:space="0"/>
              <w:left w:val="single" w:color="auto" w:sz="4" w:space="0"/>
              <w:bottom w:val="single" w:color="auto" w:sz="4" w:space="0"/>
              <w:right w:val="single" w:color="auto" w:sz="12" w:space="0"/>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315.38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34" w:type="pct"/>
            <w:gridSpan w:val="2"/>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63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断裂伸长率（</w:t>
            </w:r>
            <w:r>
              <w:rPr>
                <w:rFonts w:ascii="Times New Roman" w:hAnsi="Times New Roman" w:cs="Times New Roman"/>
                <w:color w:val="000000"/>
                <w:kern w:val="0"/>
                <w:sz w:val="18"/>
                <w:szCs w:val="18"/>
              </w:rPr>
              <w:t>%</w:t>
            </w:r>
            <w:r>
              <w:rPr>
                <w:rFonts w:hint="default" w:ascii="Times New Roman" w:hAnsi="Times New Roman" w:cs="Times New Roman"/>
                <w:color w:val="000000"/>
                <w:kern w:val="0"/>
                <w:sz w:val="18"/>
                <w:szCs w:val="18"/>
              </w:rPr>
              <w:t>）</w:t>
            </w:r>
          </w:p>
        </w:tc>
        <w:tc>
          <w:tcPr>
            <w:tcW w:w="47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纵向</w:t>
            </w:r>
          </w:p>
        </w:tc>
        <w:tc>
          <w:tcPr>
            <w:tcW w:w="78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365.38</w:t>
            </w:r>
          </w:p>
        </w:tc>
        <w:tc>
          <w:tcPr>
            <w:tcW w:w="74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289.51</w:t>
            </w:r>
          </w:p>
        </w:tc>
        <w:tc>
          <w:tcPr>
            <w:tcW w:w="76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314.88</w:t>
            </w:r>
          </w:p>
        </w:tc>
        <w:tc>
          <w:tcPr>
            <w:tcW w:w="757" w:type="pct"/>
            <w:tcBorders>
              <w:top w:val="single" w:color="auto" w:sz="4" w:space="0"/>
              <w:left w:val="single" w:color="auto" w:sz="4" w:space="0"/>
              <w:bottom w:val="single" w:color="auto" w:sz="4" w:space="0"/>
              <w:right w:val="single" w:color="auto" w:sz="12" w:space="0"/>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0" w:hRule="atLeast"/>
          <w:jc w:val="center"/>
        </w:trPr>
        <w:tc>
          <w:tcPr>
            <w:tcW w:w="834" w:type="pct"/>
            <w:gridSpan w:val="2"/>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6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47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横向</w:t>
            </w:r>
          </w:p>
        </w:tc>
        <w:tc>
          <w:tcPr>
            <w:tcW w:w="78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343.48</w:t>
            </w:r>
          </w:p>
        </w:tc>
        <w:tc>
          <w:tcPr>
            <w:tcW w:w="74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324</w:t>
            </w:r>
          </w:p>
        </w:tc>
        <w:tc>
          <w:tcPr>
            <w:tcW w:w="76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344.46</w:t>
            </w:r>
          </w:p>
        </w:tc>
        <w:tc>
          <w:tcPr>
            <w:tcW w:w="757" w:type="pct"/>
            <w:tcBorders>
              <w:top w:val="single" w:color="auto" w:sz="4" w:space="0"/>
              <w:left w:val="single" w:color="auto" w:sz="4" w:space="0"/>
              <w:bottom w:val="single" w:color="auto" w:sz="4" w:space="0"/>
              <w:right w:val="single" w:color="auto" w:sz="12" w:space="0"/>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4" w:hRule="atLeast"/>
          <w:jc w:val="center"/>
        </w:trPr>
        <w:tc>
          <w:tcPr>
            <w:tcW w:w="834" w:type="pct"/>
            <w:gridSpan w:val="2"/>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6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低温弯折</w:t>
            </w:r>
          </w:p>
        </w:tc>
        <w:tc>
          <w:tcPr>
            <w:tcW w:w="47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w:t>
            </w:r>
          </w:p>
        </w:tc>
        <w:tc>
          <w:tcPr>
            <w:tcW w:w="78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w:t>
            </w:r>
            <w:r>
              <w:rPr>
                <w:rFonts w:hint="default" w:ascii="Times New Roman" w:hAnsi="Times New Roman" w:cs="Times New Roman"/>
                <w:color w:val="000000"/>
                <w:kern w:val="0"/>
                <w:sz w:val="18"/>
                <w:szCs w:val="18"/>
              </w:rPr>
              <w:t>无裂纹</w:t>
            </w:r>
          </w:p>
        </w:tc>
        <w:tc>
          <w:tcPr>
            <w:tcW w:w="74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w:t>
            </w:r>
            <w:r>
              <w:rPr>
                <w:rFonts w:hint="default" w:ascii="Times New Roman" w:hAnsi="Times New Roman" w:cs="Times New Roman"/>
                <w:color w:val="000000"/>
                <w:kern w:val="0"/>
                <w:sz w:val="18"/>
                <w:szCs w:val="18"/>
              </w:rPr>
              <w:t>无裂纹</w:t>
            </w:r>
          </w:p>
        </w:tc>
        <w:tc>
          <w:tcPr>
            <w:tcW w:w="76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w:t>
            </w:r>
            <w:r>
              <w:rPr>
                <w:rFonts w:hint="default" w:ascii="Times New Roman" w:hAnsi="Times New Roman" w:cs="Times New Roman"/>
                <w:color w:val="000000"/>
                <w:kern w:val="0"/>
                <w:sz w:val="18"/>
                <w:szCs w:val="18"/>
              </w:rPr>
              <w:t>无裂纹</w:t>
            </w:r>
          </w:p>
        </w:tc>
        <w:tc>
          <w:tcPr>
            <w:tcW w:w="757" w:type="pct"/>
            <w:tcBorders>
              <w:top w:val="single" w:color="auto" w:sz="4" w:space="0"/>
              <w:left w:val="single" w:color="auto" w:sz="4" w:space="0"/>
              <w:bottom w:val="single" w:color="auto" w:sz="4" w:space="0"/>
              <w:right w:val="single" w:color="auto" w:sz="12" w:space="0"/>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-40</w:t>
            </w:r>
            <w:r>
              <w:rPr>
                <w:rFonts w:hint="default" w:ascii="Times New Roman" w:hAnsi="Times New Roman" w:cs="Times New Roman"/>
                <w:color w:val="000000"/>
                <w:kern w:val="0"/>
                <w:sz w:val="18"/>
                <w:szCs w:val="18"/>
              </w:rPr>
              <w:t>无裂纹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0" w:hRule="atLeast"/>
          <w:jc w:val="center"/>
        </w:trPr>
        <w:tc>
          <w:tcPr>
            <w:tcW w:w="363" w:type="pct"/>
            <w:vMerge w:val="restart"/>
            <w:tcBorders>
              <w:top w:val="single" w:color="auto" w:sz="4" w:space="0"/>
              <w:left w:val="single" w:color="auto" w:sz="12" w:space="0"/>
              <w:right w:val="single" w:color="auto" w:sz="4" w:space="0"/>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人工气候加速老化</w:t>
            </w:r>
          </w:p>
        </w:tc>
        <w:tc>
          <w:tcPr>
            <w:tcW w:w="47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2500h</w:t>
            </w:r>
          </w:p>
        </w:tc>
        <w:tc>
          <w:tcPr>
            <w:tcW w:w="63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拉伸强度保持率（</w:t>
            </w:r>
            <w:r>
              <w:rPr>
                <w:rFonts w:ascii="Times New Roman" w:hAnsi="Times New Roman" w:cs="Times New Roman"/>
                <w:color w:val="000000"/>
                <w:kern w:val="0"/>
                <w:sz w:val="18"/>
                <w:szCs w:val="18"/>
              </w:rPr>
              <w:t>%</w:t>
            </w:r>
            <w:r>
              <w:rPr>
                <w:rFonts w:hint="default" w:ascii="Times New Roman" w:hAnsi="Times New Roman" w:cs="Times New Roman"/>
                <w:color w:val="000000"/>
                <w:kern w:val="0"/>
                <w:sz w:val="18"/>
                <w:szCs w:val="18"/>
              </w:rPr>
              <w:t>）</w:t>
            </w:r>
          </w:p>
        </w:tc>
        <w:tc>
          <w:tcPr>
            <w:tcW w:w="47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纵向</w:t>
            </w:r>
          </w:p>
        </w:tc>
        <w:tc>
          <w:tcPr>
            <w:tcW w:w="7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107</w:t>
            </w:r>
          </w:p>
        </w:tc>
        <w:tc>
          <w:tcPr>
            <w:tcW w:w="74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104</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110</w:t>
            </w:r>
          </w:p>
        </w:tc>
        <w:tc>
          <w:tcPr>
            <w:tcW w:w="757" w:type="pct"/>
            <w:tcBorders>
              <w:top w:val="single" w:color="auto" w:sz="4" w:space="0"/>
              <w:left w:val="single" w:color="auto" w:sz="4" w:space="0"/>
              <w:bottom w:val="single" w:color="auto" w:sz="4" w:space="0"/>
              <w:right w:val="single" w:color="auto" w:sz="12"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0" w:hRule="atLeast"/>
          <w:jc w:val="center"/>
        </w:trPr>
        <w:tc>
          <w:tcPr>
            <w:tcW w:w="363" w:type="pct"/>
            <w:vMerge w:val="continue"/>
            <w:tcBorders>
              <w:left w:val="single" w:color="auto" w:sz="12" w:space="0"/>
              <w:right w:val="single" w:color="auto" w:sz="4" w:space="0"/>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47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6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47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横向</w:t>
            </w:r>
          </w:p>
        </w:tc>
        <w:tc>
          <w:tcPr>
            <w:tcW w:w="7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107</w:t>
            </w:r>
          </w:p>
        </w:tc>
        <w:tc>
          <w:tcPr>
            <w:tcW w:w="74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103</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110</w:t>
            </w:r>
          </w:p>
        </w:tc>
        <w:tc>
          <w:tcPr>
            <w:tcW w:w="757" w:type="pct"/>
            <w:tcBorders>
              <w:top w:val="single" w:color="auto" w:sz="4" w:space="0"/>
              <w:left w:val="single" w:color="auto" w:sz="4" w:space="0"/>
              <w:bottom w:val="single" w:color="auto" w:sz="4" w:space="0"/>
              <w:right w:val="single" w:color="auto" w:sz="12"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0" w:hRule="atLeast"/>
          <w:jc w:val="center"/>
        </w:trPr>
        <w:tc>
          <w:tcPr>
            <w:tcW w:w="363" w:type="pct"/>
            <w:vMerge w:val="continue"/>
            <w:tcBorders>
              <w:left w:val="single" w:color="auto" w:sz="12" w:space="0"/>
              <w:right w:val="single" w:color="auto" w:sz="4" w:space="0"/>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47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63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断裂伸长率保持率（</w:t>
            </w:r>
            <w:r>
              <w:rPr>
                <w:rFonts w:ascii="Times New Roman" w:hAnsi="Times New Roman" w:cs="Times New Roman"/>
                <w:color w:val="000000"/>
                <w:kern w:val="0"/>
                <w:sz w:val="18"/>
                <w:szCs w:val="18"/>
              </w:rPr>
              <w:t>%</w:t>
            </w:r>
            <w:r>
              <w:rPr>
                <w:rFonts w:hint="default" w:ascii="Times New Roman" w:hAnsi="Times New Roman" w:cs="Times New Roman"/>
                <w:color w:val="000000"/>
                <w:kern w:val="0"/>
                <w:sz w:val="18"/>
                <w:szCs w:val="18"/>
              </w:rPr>
              <w:t>）</w:t>
            </w:r>
          </w:p>
        </w:tc>
        <w:tc>
          <w:tcPr>
            <w:tcW w:w="47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纵向</w:t>
            </w:r>
          </w:p>
        </w:tc>
        <w:tc>
          <w:tcPr>
            <w:tcW w:w="7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88</w:t>
            </w:r>
          </w:p>
        </w:tc>
        <w:tc>
          <w:tcPr>
            <w:tcW w:w="74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78</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95</w:t>
            </w:r>
          </w:p>
        </w:tc>
        <w:tc>
          <w:tcPr>
            <w:tcW w:w="757" w:type="pct"/>
            <w:tcBorders>
              <w:top w:val="single" w:color="auto" w:sz="4" w:space="0"/>
              <w:left w:val="single" w:color="auto" w:sz="4" w:space="0"/>
              <w:bottom w:val="single" w:color="auto" w:sz="4" w:space="0"/>
              <w:right w:val="single" w:color="auto" w:sz="12"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8" w:hRule="atLeast"/>
          <w:jc w:val="center"/>
        </w:trPr>
        <w:tc>
          <w:tcPr>
            <w:tcW w:w="363" w:type="pct"/>
            <w:vMerge w:val="continue"/>
            <w:tcBorders>
              <w:left w:val="single" w:color="auto" w:sz="12" w:space="0"/>
              <w:right w:val="single" w:color="auto" w:sz="4" w:space="0"/>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47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6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47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横向</w:t>
            </w:r>
          </w:p>
        </w:tc>
        <w:tc>
          <w:tcPr>
            <w:tcW w:w="7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91</w:t>
            </w:r>
          </w:p>
        </w:tc>
        <w:tc>
          <w:tcPr>
            <w:tcW w:w="74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86</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92</w:t>
            </w:r>
          </w:p>
        </w:tc>
        <w:tc>
          <w:tcPr>
            <w:tcW w:w="757" w:type="pct"/>
            <w:tcBorders>
              <w:top w:val="single" w:color="auto" w:sz="4" w:space="0"/>
              <w:left w:val="single" w:color="auto" w:sz="4" w:space="0"/>
              <w:bottom w:val="single" w:color="auto" w:sz="4" w:space="0"/>
              <w:right w:val="single" w:color="auto" w:sz="12"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1" w:hRule="atLeast"/>
          <w:jc w:val="center"/>
        </w:trPr>
        <w:tc>
          <w:tcPr>
            <w:tcW w:w="363" w:type="pct"/>
            <w:vMerge w:val="continue"/>
            <w:tcBorders>
              <w:left w:val="single" w:color="auto" w:sz="12" w:space="0"/>
              <w:bottom w:val="single" w:color="auto" w:sz="12" w:space="0"/>
              <w:right w:val="single" w:color="auto" w:sz="4" w:space="0"/>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470" w:type="pct"/>
            <w:vMerge w:val="continue"/>
            <w:tcBorders>
              <w:top w:val="single" w:color="auto" w:sz="4" w:space="0"/>
              <w:left w:val="single" w:color="auto" w:sz="4" w:space="0"/>
              <w:bottom w:val="single" w:color="auto" w:sz="12" w:space="0"/>
              <w:right w:val="single" w:color="auto" w:sz="4" w:space="0"/>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634" w:type="pct"/>
            <w:tcBorders>
              <w:top w:val="single" w:color="auto" w:sz="4" w:space="0"/>
              <w:left w:val="single" w:color="auto" w:sz="4" w:space="0"/>
              <w:bottom w:val="single" w:color="auto" w:sz="12"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低温弯折</w:t>
            </w:r>
          </w:p>
        </w:tc>
        <w:tc>
          <w:tcPr>
            <w:tcW w:w="476" w:type="pct"/>
            <w:tcBorders>
              <w:top w:val="single" w:color="auto" w:sz="4" w:space="0"/>
              <w:left w:val="single" w:color="auto" w:sz="4" w:space="0"/>
              <w:bottom w:val="single" w:color="auto" w:sz="12" w:space="0"/>
              <w:right w:val="single" w:color="auto" w:sz="4" w:space="0"/>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w:t>
            </w:r>
          </w:p>
        </w:tc>
        <w:tc>
          <w:tcPr>
            <w:tcW w:w="780" w:type="pct"/>
            <w:tcBorders>
              <w:top w:val="single" w:color="auto" w:sz="4" w:space="0"/>
              <w:left w:val="single" w:color="auto" w:sz="4" w:space="0"/>
              <w:bottom w:val="single" w:color="auto" w:sz="12" w:space="0"/>
              <w:right w:val="single" w:color="auto" w:sz="4" w:space="0"/>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r>
              <w:rPr>
                <w:rFonts w:hint="default" w:ascii="Times New Roman" w:hAnsi="Times New Roman" w:cs="Times New Roman"/>
                <w:color w:val="000000"/>
                <w:kern w:val="0"/>
                <w:sz w:val="18"/>
                <w:szCs w:val="18"/>
              </w:rPr>
              <w:t>无裂纹</w:t>
            </w:r>
          </w:p>
        </w:tc>
        <w:tc>
          <w:tcPr>
            <w:tcW w:w="749" w:type="pct"/>
            <w:tcBorders>
              <w:top w:val="single" w:color="auto" w:sz="4" w:space="0"/>
              <w:left w:val="single" w:color="auto" w:sz="4" w:space="0"/>
              <w:bottom w:val="single" w:color="auto" w:sz="12" w:space="0"/>
              <w:right w:val="single" w:color="auto" w:sz="4" w:space="0"/>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r>
              <w:rPr>
                <w:rFonts w:hint="default" w:ascii="Times New Roman" w:hAnsi="Times New Roman" w:cs="Times New Roman"/>
                <w:color w:val="000000"/>
                <w:kern w:val="0"/>
                <w:sz w:val="18"/>
                <w:szCs w:val="18"/>
              </w:rPr>
              <w:t>无裂纹</w:t>
            </w:r>
          </w:p>
        </w:tc>
        <w:tc>
          <w:tcPr>
            <w:tcW w:w="767" w:type="pct"/>
            <w:tcBorders>
              <w:top w:val="single" w:color="auto" w:sz="4" w:space="0"/>
              <w:left w:val="single" w:color="auto" w:sz="4" w:space="0"/>
              <w:bottom w:val="single" w:color="auto" w:sz="12" w:space="0"/>
              <w:right w:val="single" w:color="auto" w:sz="4" w:space="0"/>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r>
              <w:rPr>
                <w:rFonts w:hint="default" w:ascii="Times New Roman" w:hAnsi="Times New Roman" w:cs="Times New Roman"/>
                <w:color w:val="000000"/>
                <w:kern w:val="0"/>
                <w:sz w:val="18"/>
                <w:szCs w:val="18"/>
              </w:rPr>
              <w:t>无裂纹</w:t>
            </w:r>
          </w:p>
        </w:tc>
        <w:tc>
          <w:tcPr>
            <w:tcW w:w="757" w:type="pct"/>
            <w:tcBorders>
              <w:top w:val="single" w:color="auto" w:sz="4" w:space="0"/>
              <w:left w:val="single" w:color="auto" w:sz="4" w:space="0"/>
              <w:bottom w:val="single" w:color="auto" w:sz="12" w:space="0"/>
              <w:right w:val="single" w:color="auto" w:sz="12" w:space="0"/>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-40</w:t>
            </w:r>
            <w:r>
              <w:rPr>
                <w:rFonts w:hint="default" w:ascii="Times New Roman" w:hAnsi="Times New Roman" w:cs="Times New Roman"/>
                <w:color w:val="000000"/>
                <w:kern w:val="0"/>
                <w:sz w:val="18"/>
                <w:szCs w:val="18"/>
              </w:rPr>
              <w:t>无裂纹</w:t>
            </w:r>
          </w:p>
        </w:tc>
      </w:tr>
    </w:tbl>
    <w:p>
      <w:pPr>
        <w:spacing w:line="440" w:lineRule="exact"/>
        <w:ind w:firstLine="431" w:firstLineChars="196"/>
        <w:jc w:val="left"/>
        <w:rPr>
          <w:rFonts w:hint="eastAsia" w:ascii="Times New Roman" w:hAnsi="Times New Roman"/>
          <w:sz w:val="22"/>
          <w:szCs w:val="22"/>
        </w:rPr>
      </w:pPr>
      <w:r>
        <w:rPr>
          <w:rFonts w:hint="eastAsia" w:ascii="Times New Roman" w:hAnsi="Times New Roman"/>
          <w:sz w:val="22"/>
          <w:szCs w:val="22"/>
        </w:rPr>
        <w:t>通过验证试验可以看出对于PVC、TPO等高分子卷材人工气候老化2500h以后，性能基本保持不变。拉伸强度还都处于上升阶段，伸长率相对是逐渐下降的，低温性能由于未检测极限温度，因此看上去没有变化。</w:t>
      </w:r>
    </w:p>
    <w:p>
      <w:pPr>
        <w:pStyle w:val="63"/>
        <w:numPr>
          <w:ilvl w:val="0"/>
          <w:numId w:val="0"/>
        </w:numPr>
        <w:topLinePunct/>
        <w:spacing w:beforeLines="0" w:afterLines="0" w:line="360" w:lineRule="auto"/>
        <w:rPr>
          <w:rFonts w:hint="eastAsia" w:ascii="Times New Roman" w:eastAsia="宋体"/>
          <w:b/>
          <w:bCs/>
          <w:kern w:val="2"/>
          <w:szCs w:val="24"/>
        </w:rPr>
      </w:pPr>
    </w:p>
    <w:p>
      <w:pPr>
        <w:pStyle w:val="63"/>
        <w:numPr>
          <w:ilvl w:val="0"/>
          <w:numId w:val="0"/>
        </w:numPr>
        <w:topLinePunct/>
        <w:spacing w:beforeLines="0" w:afterLines="0" w:line="360" w:lineRule="auto"/>
        <w:rPr>
          <w:rFonts w:hint="eastAsia" w:ascii="Times New Roman" w:hAnsi="Times New Roman" w:eastAsia="宋体"/>
          <w:b/>
          <w:bCs/>
          <w:kern w:val="2"/>
          <w:szCs w:val="24"/>
          <w:lang w:eastAsia="zh-CN"/>
        </w:rPr>
      </w:pPr>
      <w:r>
        <w:rPr>
          <w:rFonts w:hint="eastAsia" w:ascii="Times New Roman" w:eastAsia="宋体"/>
          <w:b/>
          <w:bCs/>
          <w:kern w:val="2"/>
          <w:szCs w:val="24"/>
        </w:rPr>
        <w:t>高分子防水卷材试验结果5000h氙灯</w:t>
      </w:r>
      <w:r>
        <w:rPr>
          <w:rFonts w:hint="eastAsia" w:ascii="Times New Roman" w:eastAsia="宋体"/>
          <w:b/>
          <w:bCs/>
          <w:kern w:val="2"/>
          <w:szCs w:val="24"/>
          <w:lang w:eastAsia="zh-CN"/>
        </w:rPr>
        <w:t>结果</w:t>
      </w:r>
    </w:p>
    <w:tbl>
      <w:tblPr>
        <w:tblStyle w:val="24"/>
        <w:tblW w:w="503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65"/>
        <w:gridCol w:w="696"/>
        <w:gridCol w:w="982"/>
        <w:gridCol w:w="695"/>
        <w:gridCol w:w="1390"/>
        <w:gridCol w:w="1387"/>
        <w:gridCol w:w="1375"/>
        <w:gridCol w:w="13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0" w:hRule="atLeast"/>
          <w:jc w:val="center"/>
        </w:trPr>
        <w:tc>
          <w:tcPr>
            <w:tcW w:w="1771" w:type="pct"/>
            <w:gridSpan w:val="4"/>
            <w:tcBorders>
              <w:tl2br w:val="nil"/>
              <w:tr2bl w:val="nil"/>
            </w:tcBorders>
            <w:shd w:val="clear" w:color="auto" w:fill="auto"/>
            <w:vAlign w:val="center"/>
          </w:tcPr>
          <w:p>
            <w:pPr>
              <w:widowControl/>
              <w:topLinePunct/>
              <w:spacing w:line="240" w:lineRule="exact"/>
              <w:jc w:val="center"/>
              <w:rPr>
                <w:rFonts w:ascii="Times New Roman" w:hAnsi="Times New Roman" w:cs="Times New Roman"/>
                <w:b/>
                <w:bCs/>
                <w:color w:val="000000"/>
                <w:kern w:val="0"/>
                <w:sz w:val="20"/>
                <w:szCs w:val="20"/>
              </w:rPr>
            </w:pPr>
            <w:r>
              <w:rPr>
                <w:rFonts w:hint="default" w:ascii="Times New Roman" w:hAnsi="Times New Roman" w:cs="Times New Roman"/>
                <w:b/>
                <w:bCs/>
                <w:color w:val="000000"/>
                <w:kern w:val="0"/>
                <w:sz w:val="20"/>
                <w:szCs w:val="20"/>
              </w:rPr>
              <w:t>产品种类</w:t>
            </w:r>
          </w:p>
        </w:tc>
        <w:tc>
          <w:tcPr>
            <w:tcW w:w="810"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b/>
                <w:bCs/>
                <w:color w:val="000000"/>
                <w:kern w:val="0"/>
                <w:sz w:val="20"/>
                <w:szCs w:val="20"/>
              </w:rPr>
            </w:pPr>
            <w:r>
              <w:rPr>
                <w:rFonts w:ascii="Times New Roman" w:hAnsi="Times New Roman" w:cs="Times New Roman"/>
                <w:b/>
                <w:bCs/>
                <w:color w:val="000000"/>
                <w:kern w:val="0"/>
                <w:sz w:val="20"/>
                <w:szCs w:val="20"/>
              </w:rPr>
              <w:t>PVC</w:t>
            </w:r>
          </w:p>
        </w:tc>
        <w:tc>
          <w:tcPr>
            <w:tcW w:w="808"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b/>
                <w:bCs/>
                <w:color w:val="000000"/>
                <w:kern w:val="0"/>
                <w:sz w:val="20"/>
                <w:szCs w:val="20"/>
              </w:rPr>
            </w:pPr>
            <w:r>
              <w:rPr>
                <w:rFonts w:hint="default" w:ascii="Times New Roman" w:hAnsi="Times New Roman" w:cs="Times New Roman"/>
                <w:b/>
                <w:bCs/>
                <w:color w:val="000000"/>
                <w:kern w:val="0"/>
                <w:sz w:val="20"/>
                <w:szCs w:val="20"/>
              </w:rPr>
              <w:t>TPO</w:t>
            </w:r>
          </w:p>
        </w:tc>
        <w:tc>
          <w:tcPr>
            <w:tcW w:w="801"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b/>
                <w:bCs/>
                <w:color w:val="000000"/>
                <w:kern w:val="0"/>
                <w:sz w:val="20"/>
                <w:szCs w:val="20"/>
              </w:rPr>
            </w:pPr>
            <w:r>
              <w:rPr>
                <w:rFonts w:hint="default" w:ascii="Times New Roman" w:hAnsi="Times New Roman" w:cs="Times New Roman"/>
                <w:b/>
                <w:bCs/>
                <w:color w:val="000000"/>
                <w:kern w:val="0"/>
                <w:sz w:val="20"/>
                <w:szCs w:val="20"/>
              </w:rPr>
              <w:t>K</w:t>
            </w:r>
            <w:r>
              <w:rPr>
                <w:rFonts w:ascii="Times New Roman" w:hAnsi="Times New Roman" w:cs="Times New Roman"/>
                <w:b/>
                <w:bCs/>
                <w:color w:val="000000"/>
                <w:kern w:val="0"/>
                <w:sz w:val="20"/>
                <w:szCs w:val="20"/>
              </w:rPr>
              <w:t>EE</w:t>
            </w:r>
          </w:p>
        </w:tc>
        <w:tc>
          <w:tcPr>
            <w:tcW w:w="808"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b/>
                <w:bCs/>
                <w:color w:val="000000"/>
                <w:kern w:val="0"/>
                <w:sz w:val="20"/>
                <w:szCs w:val="20"/>
              </w:rPr>
            </w:pPr>
            <w:r>
              <w:rPr>
                <w:rFonts w:hint="default" w:ascii="Times New Roman" w:hAnsi="Times New Roman" w:cs="Times New Roman"/>
                <w:b/>
                <w:bCs/>
                <w:color w:val="000000"/>
                <w:kern w:val="0"/>
                <w:sz w:val="20"/>
                <w:szCs w:val="20"/>
              </w:rPr>
              <w:t>TPO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4" w:hRule="atLeast"/>
          <w:jc w:val="center"/>
        </w:trPr>
        <w:tc>
          <w:tcPr>
            <w:tcW w:w="1771" w:type="pct"/>
            <w:gridSpan w:val="4"/>
            <w:tcBorders>
              <w:tl2br w:val="nil"/>
              <w:tr2bl w:val="nil"/>
            </w:tcBorders>
            <w:shd w:val="clear" w:color="auto" w:fill="auto"/>
            <w:vAlign w:val="center"/>
          </w:tcPr>
          <w:p>
            <w:pPr>
              <w:widowControl/>
              <w:topLinePunct/>
              <w:spacing w:line="240" w:lineRule="exact"/>
              <w:jc w:val="center"/>
              <w:rPr>
                <w:rFonts w:ascii="Times New Roman" w:hAnsi="Times New Roman" w:cs="Times New Roman"/>
                <w:b/>
                <w:bCs/>
                <w:color w:val="000000"/>
                <w:kern w:val="0"/>
                <w:sz w:val="20"/>
                <w:szCs w:val="20"/>
              </w:rPr>
            </w:pPr>
            <w:r>
              <w:rPr>
                <w:rFonts w:hint="default" w:ascii="Times New Roman" w:hAnsi="Times New Roman" w:cs="Times New Roman"/>
                <w:b/>
                <w:bCs/>
                <w:color w:val="000000"/>
                <w:kern w:val="0"/>
                <w:sz w:val="20"/>
                <w:szCs w:val="20"/>
              </w:rPr>
              <w:t>规格型号</w:t>
            </w:r>
          </w:p>
        </w:tc>
        <w:tc>
          <w:tcPr>
            <w:tcW w:w="810"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b/>
                <w:bCs/>
                <w:color w:val="000000"/>
                <w:kern w:val="0"/>
                <w:sz w:val="20"/>
                <w:szCs w:val="20"/>
              </w:rPr>
            </w:pPr>
            <w:r>
              <w:rPr>
                <w:rFonts w:hint="default" w:ascii="Times New Roman" w:hAnsi="Times New Roman" w:cs="Times New Roman"/>
                <w:b/>
                <w:bCs/>
                <w:color w:val="000000"/>
                <w:kern w:val="0"/>
                <w:sz w:val="20"/>
                <w:szCs w:val="20"/>
              </w:rPr>
              <w:t>外露GL</w:t>
            </w:r>
            <w:r>
              <w:rPr>
                <w:rFonts w:ascii="Times New Roman" w:hAnsi="Times New Roman" w:cs="Times New Roman"/>
                <w:b/>
                <w:bCs/>
                <w:color w:val="000000"/>
                <w:kern w:val="0"/>
                <w:sz w:val="20"/>
                <w:szCs w:val="20"/>
              </w:rPr>
              <w:t xml:space="preserve"> 1.5</w:t>
            </w:r>
          </w:p>
        </w:tc>
        <w:tc>
          <w:tcPr>
            <w:tcW w:w="808"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b/>
                <w:bCs/>
                <w:color w:val="000000"/>
                <w:kern w:val="0"/>
                <w:sz w:val="20"/>
                <w:szCs w:val="20"/>
              </w:rPr>
            </w:pPr>
            <w:r>
              <w:rPr>
                <w:rFonts w:hint="default" w:ascii="Times New Roman" w:hAnsi="Times New Roman" w:cs="Times New Roman"/>
                <w:b/>
                <w:bCs/>
                <w:color w:val="000000"/>
                <w:kern w:val="0"/>
                <w:sz w:val="20"/>
                <w:szCs w:val="20"/>
              </w:rPr>
              <w:t>P</w:t>
            </w:r>
            <w:r>
              <w:rPr>
                <w:rFonts w:ascii="Times New Roman" w:hAnsi="Times New Roman" w:cs="Times New Roman"/>
                <w:b/>
                <w:bCs/>
                <w:color w:val="000000"/>
                <w:kern w:val="0"/>
                <w:sz w:val="20"/>
                <w:szCs w:val="20"/>
              </w:rPr>
              <w:t xml:space="preserve"> 1.5</w:t>
            </w:r>
          </w:p>
        </w:tc>
        <w:tc>
          <w:tcPr>
            <w:tcW w:w="801"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b/>
                <w:bCs/>
                <w:color w:val="000000"/>
                <w:kern w:val="0"/>
                <w:sz w:val="20"/>
                <w:szCs w:val="20"/>
              </w:rPr>
            </w:pPr>
            <w:r>
              <w:rPr>
                <w:rFonts w:hint="default" w:ascii="Times New Roman" w:hAnsi="Times New Roman" w:cs="Times New Roman"/>
                <w:b/>
                <w:bCs/>
                <w:color w:val="000000"/>
                <w:kern w:val="0"/>
                <w:sz w:val="20"/>
                <w:szCs w:val="20"/>
              </w:rPr>
              <w:t>内增强P</w:t>
            </w:r>
          </w:p>
        </w:tc>
        <w:tc>
          <w:tcPr>
            <w:tcW w:w="808"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b/>
                <w:bCs/>
                <w:color w:val="000000"/>
                <w:kern w:val="0"/>
                <w:sz w:val="20"/>
                <w:szCs w:val="20"/>
              </w:rPr>
            </w:pPr>
            <w:r>
              <w:rPr>
                <w:rFonts w:hint="default" w:ascii="Times New Roman" w:hAnsi="Times New Roman" w:cs="Times New Roman"/>
                <w:b/>
                <w:bCs/>
                <w:color w:val="000000"/>
                <w:kern w:val="0"/>
                <w:sz w:val="20"/>
                <w:szCs w:val="20"/>
              </w:rPr>
              <w:t>H</w:t>
            </w:r>
            <w:r>
              <w:rPr>
                <w:rFonts w:ascii="Times New Roman" w:hAnsi="Times New Roman" w:cs="Times New Roman"/>
                <w:b/>
                <w:bCs/>
                <w:color w:val="000000"/>
                <w:kern w:val="0"/>
                <w:sz w:val="20"/>
                <w:szCs w:val="20"/>
              </w:rPr>
              <w:t xml:space="preserve"> 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4" w:hRule="atLeast"/>
          <w:jc w:val="center"/>
        </w:trPr>
        <w:tc>
          <w:tcPr>
            <w:tcW w:w="794" w:type="pct"/>
            <w:gridSpan w:val="2"/>
            <w:vMerge w:val="restar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原始数值</w:t>
            </w:r>
          </w:p>
        </w:tc>
        <w:tc>
          <w:tcPr>
            <w:tcW w:w="572" w:type="pct"/>
            <w:vMerge w:val="restar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拉伸强度（</w:t>
            </w:r>
            <w:r>
              <w:rPr>
                <w:rFonts w:ascii="Times New Roman" w:hAnsi="Times New Roman" w:cs="Times New Roman"/>
                <w:color w:val="000000"/>
                <w:kern w:val="0"/>
                <w:sz w:val="18"/>
                <w:szCs w:val="18"/>
              </w:rPr>
              <w:t>M</w:t>
            </w:r>
            <w:r>
              <w:rPr>
                <w:rFonts w:hint="default" w:ascii="Times New Roman" w:hAnsi="Times New Roman" w:cs="Times New Roman"/>
                <w:color w:val="000000"/>
                <w:kern w:val="0"/>
                <w:sz w:val="18"/>
                <w:szCs w:val="18"/>
              </w:rPr>
              <w:t>P</w:t>
            </w:r>
            <w:r>
              <w:rPr>
                <w:rFonts w:ascii="Times New Roman" w:hAnsi="Times New Roman" w:cs="Times New Roman"/>
                <w:color w:val="000000"/>
                <w:kern w:val="0"/>
                <w:sz w:val="18"/>
                <w:szCs w:val="18"/>
              </w:rPr>
              <w:t>a</w:t>
            </w:r>
            <w:r>
              <w:rPr>
                <w:rFonts w:hint="default" w:ascii="Times New Roman" w:hAnsi="Times New Roman" w:cs="Times New Roman"/>
                <w:color w:val="000000"/>
                <w:kern w:val="0"/>
                <w:sz w:val="18"/>
                <w:szCs w:val="18"/>
              </w:rPr>
              <w:t>）</w:t>
            </w:r>
          </w:p>
        </w:tc>
        <w:tc>
          <w:tcPr>
            <w:tcW w:w="403"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纵向</w:t>
            </w:r>
          </w:p>
        </w:tc>
        <w:tc>
          <w:tcPr>
            <w:tcW w:w="810"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 xml:space="preserve">181 </w:t>
            </w:r>
            <w:r>
              <w:rPr>
                <w:rFonts w:hint="default" w:ascii="Times New Roman" w:hAnsi="Times New Roman" w:cs="Times New Roman"/>
                <w:color w:val="000000"/>
                <w:kern w:val="0"/>
                <w:sz w:val="18"/>
                <w:szCs w:val="18"/>
              </w:rPr>
              <w:t>N</w:t>
            </w:r>
            <w:r>
              <w:rPr>
                <w:rFonts w:ascii="Times New Roman" w:hAnsi="Times New Roman" w:cs="Times New Roman"/>
                <w:color w:val="000000"/>
                <w:kern w:val="0"/>
                <w:sz w:val="18"/>
                <w:szCs w:val="18"/>
              </w:rPr>
              <w:t>/cm</w:t>
            </w:r>
          </w:p>
        </w:tc>
        <w:tc>
          <w:tcPr>
            <w:tcW w:w="808"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350 N</w:t>
            </w:r>
            <w:r>
              <w:rPr>
                <w:rFonts w:ascii="Times New Roman" w:hAnsi="Times New Roman" w:cs="Times New Roman"/>
                <w:color w:val="000000"/>
                <w:kern w:val="0"/>
                <w:sz w:val="18"/>
                <w:szCs w:val="18"/>
              </w:rPr>
              <w:t>/cm</w:t>
            </w:r>
          </w:p>
        </w:tc>
        <w:tc>
          <w:tcPr>
            <w:tcW w:w="801"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588 N</w:t>
            </w:r>
            <w:r>
              <w:rPr>
                <w:rFonts w:ascii="Times New Roman" w:hAnsi="Times New Roman" w:cs="Times New Roman"/>
                <w:color w:val="000000"/>
                <w:kern w:val="0"/>
                <w:sz w:val="18"/>
                <w:szCs w:val="18"/>
              </w:rPr>
              <w:t>/cm</w:t>
            </w:r>
          </w:p>
        </w:tc>
        <w:tc>
          <w:tcPr>
            <w:tcW w:w="808"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4" w:hRule="atLeast"/>
          <w:jc w:val="center"/>
        </w:trPr>
        <w:tc>
          <w:tcPr>
            <w:tcW w:w="794" w:type="pct"/>
            <w:gridSpan w:val="2"/>
            <w:vMerge w:val="continue"/>
            <w:tcBorders>
              <w:tl2br w:val="nil"/>
              <w:tr2bl w:val="nil"/>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572" w:type="pct"/>
            <w:vMerge w:val="continue"/>
            <w:tcBorders>
              <w:tl2br w:val="nil"/>
              <w:tr2bl w:val="nil"/>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403"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横向</w:t>
            </w:r>
          </w:p>
        </w:tc>
        <w:tc>
          <w:tcPr>
            <w:tcW w:w="810"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r>
              <w:rPr>
                <w:rFonts w:ascii="Times New Roman" w:hAnsi="Times New Roman" w:cs="Times New Roman"/>
                <w:color w:val="000000"/>
                <w:kern w:val="0"/>
                <w:sz w:val="18"/>
                <w:szCs w:val="18"/>
              </w:rPr>
              <w:t>70</w:t>
            </w:r>
            <w:r>
              <w:rPr>
                <w:rFonts w:hint="default" w:ascii="Times New Roman" w:hAnsi="Times New Roman" w:cs="Times New Roman"/>
                <w:color w:val="000000"/>
                <w:kern w:val="0"/>
                <w:sz w:val="18"/>
                <w:szCs w:val="18"/>
              </w:rPr>
              <w:t xml:space="preserve"> N</w:t>
            </w:r>
            <w:r>
              <w:rPr>
                <w:rFonts w:ascii="Times New Roman" w:hAnsi="Times New Roman" w:cs="Times New Roman"/>
                <w:color w:val="000000"/>
                <w:kern w:val="0"/>
                <w:sz w:val="18"/>
                <w:szCs w:val="18"/>
              </w:rPr>
              <w:t>/cm</w:t>
            </w:r>
          </w:p>
        </w:tc>
        <w:tc>
          <w:tcPr>
            <w:tcW w:w="808"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334 N</w:t>
            </w:r>
            <w:r>
              <w:rPr>
                <w:rFonts w:ascii="Times New Roman" w:hAnsi="Times New Roman" w:cs="Times New Roman"/>
                <w:color w:val="000000"/>
                <w:kern w:val="0"/>
                <w:sz w:val="18"/>
                <w:szCs w:val="18"/>
              </w:rPr>
              <w:t>/cm</w:t>
            </w:r>
          </w:p>
        </w:tc>
        <w:tc>
          <w:tcPr>
            <w:tcW w:w="801"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557 N</w:t>
            </w:r>
            <w:r>
              <w:rPr>
                <w:rFonts w:ascii="Times New Roman" w:hAnsi="Times New Roman" w:cs="Times New Roman"/>
                <w:color w:val="000000"/>
                <w:kern w:val="0"/>
                <w:sz w:val="18"/>
                <w:szCs w:val="18"/>
              </w:rPr>
              <w:t>/cm</w:t>
            </w:r>
          </w:p>
        </w:tc>
        <w:tc>
          <w:tcPr>
            <w:tcW w:w="808"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4" w:hRule="atLeast"/>
          <w:jc w:val="center"/>
        </w:trPr>
        <w:tc>
          <w:tcPr>
            <w:tcW w:w="794" w:type="pct"/>
            <w:gridSpan w:val="2"/>
            <w:vMerge w:val="continue"/>
            <w:tcBorders>
              <w:tl2br w:val="nil"/>
              <w:tr2bl w:val="nil"/>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572" w:type="pct"/>
            <w:vMerge w:val="restar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断裂伸长率（</w:t>
            </w:r>
            <w:r>
              <w:rPr>
                <w:rFonts w:ascii="Times New Roman" w:hAnsi="Times New Roman" w:cs="Times New Roman"/>
                <w:color w:val="000000"/>
                <w:kern w:val="0"/>
                <w:sz w:val="18"/>
                <w:szCs w:val="18"/>
              </w:rPr>
              <w:t>%</w:t>
            </w:r>
            <w:r>
              <w:rPr>
                <w:rFonts w:hint="default" w:ascii="Times New Roman" w:hAnsi="Times New Roman" w:cs="Times New Roman"/>
                <w:color w:val="000000"/>
                <w:kern w:val="0"/>
                <w:sz w:val="18"/>
                <w:szCs w:val="18"/>
              </w:rPr>
              <w:t>）</w:t>
            </w:r>
          </w:p>
        </w:tc>
        <w:tc>
          <w:tcPr>
            <w:tcW w:w="403"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纵向</w:t>
            </w:r>
          </w:p>
        </w:tc>
        <w:tc>
          <w:tcPr>
            <w:tcW w:w="810"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r>
              <w:rPr>
                <w:rFonts w:ascii="Times New Roman" w:hAnsi="Times New Roman" w:cs="Times New Roman"/>
                <w:color w:val="000000"/>
                <w:kern w:val="0"/>
                <w:sz w:val="18"/>
                <w:szCs w:val="18"/>
              </w:rPr>
              <w:t>10</w:t>
            </w:r>
          </w:p>
        </w:tc>
        <w:tc>
          <w:tcPr>
            <w:tcW w:w="808"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18</w:t>
            </w:r>
          </w:p>
        </w:tc>
        <w:tc>
          <w:tcPr>
            <w:tcW w:w="801"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16</w:t>
            </w:r>
          </w:p>
        </w:tc>
        <w:tc>
          <w:tcPr>
            <w:tcW w:w="808"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821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4" w:hRule="atLeast"/>
          <w:jc w:val="center"/>
        </w:trPr>
        <w:tc>
          <w:tcPr>
            <w:tcW w:w="794" w:type="pct"/>
            <w:gridSpan w:val="2"/>
            <w:vMerge w:val="continue"/>
            <w:tcBorders>
              <w:tl2br w:val="nil"/>
              <w:tr2bl w:val="nil"/>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572" w:type="pct"/>
            <w:vMerge w:val="continue"/>
            <w:tcBorders>
              <w:tl2br w:val="nil"/>
              <w:tr2bl w:val="nil"/>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403"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横向</w:t>
            </w:r>
          </w:p>
        </w:tc>
        <w:tc>
          <w:tcPr>
            <w:tcW w:w="810"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r>
              <w:rPr>
                <w:rFonts w:ascii="Times New Roman" w:hAnsi="Times New Roman" w:cs="Times New Roman"/>
                <w:color w:val="000000"/>
                <w:kern w:val="0"/>
                <w:sz w:val="18"/>
                <w:szCs w:val="18"/>
              </w:rPr>
              <w:t>70</w:t>
            </w:r>
          </w:p>
        </w:tc>
        <w:tc>
          <w:tcPr>
            <w:tcW w:w="808"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18</w:t>
            </w:r>
          </w:p>
        </w:tc>
        <w:tc>
          <w:tcPr>
            <w:tcW w:w="801"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19</w:t>
            </w:r>
          </w:p>
        </w:tc>
        <w:tc>
          <w:tcPr>
            <w:tcW w:w="808"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908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4" w:hRule="atLeast"/>
          <w:jc w:val="center"/>
        </w:trPr>
        <w:tc>
          <w:tcPr>
            <w:tcW w:w="794" w:type="pct"/>
            <w:gridSpan w:val="2"/>
            <w:vMerge w:val="continue"/>
            <w:tcBorders>
              <w:tl2br w:val="nil"/>
              <w:tr2bl w:val="nil"/>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572"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低温弯折</w:t>
            </w:r>
          </w:p>
        </w:tc>
        <w:tc>
          <w:tcPr>
            <w:tcW w:w="403"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w:t>
            </w:r>
          </w:p>
        </w:tc>
        <w:tc>
          <w:tcPr>
            <w:tcW w:w="810"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w:t>
            </w:r>
            <w:r>
              <w:rPr>
                <w:rFonts w:hint="default" w:ascii="Times New Roman" w:hAnsi="Times New Roman" w:cs="Times New Roman"/>
                <w:color w:val="000000"/>
                <w:kern w:val="0"/>
                <w:sz w:val="18"/>
                <w:szCs w:val="18"/>
              </w:rPr>
              <w:t>无裂纹</w:t>
            </w:r>
          </w:p>
        </w:tc>
        <w:tc>
          <w:tcPr>
            <w:tcW w:w="808"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w:t>
            </w:r>
            <w:r>
              <w:rPr>
                <w:rFonts w:ascii="Times New Roman" w:hAnsi="Times New Roman" w:cs="Times New Roman"/>
                <w:color w:val="000000"/>
                <w:kern w:val="0"/>
                <w:sz w:val="18"/>
                <w:szCs w:val="18"/>
              </w:rPr>
              <w:t>40</w:t>
            </w:r>
            <w:r>
              <w:rPr>
                <w:rFonts w:hint="default" w:ascii="Times New Roman" w:hAnsi="Times New Roman" w:cs="Times New Roman"/>
                <w:color w:val="000000"/>
                <w:kern w:val="0"/>
                <w:sz w:val="18"/>
                <w:szCs w:val="18"/>
              </w:rPr>
              <w:t>无裂纹</w:t>
            </w:r>
          </w:p>
        </w:tc>
        <w:tc>
          <w:tcPr>
            <w:tcW w:w="801"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w:t>
            </w:r>
            <w:r>
              <w:rPr>
                <w:rFonts w:ascii="Times New Roman" w:hAnsi="Times New Roman" w:cs="Times New Roman"/>
                <w:color w:val="000000"/>
                <w:kern w:val="0"/>
                <w:sz w:val="18"/>
                <w:szCs w:val="18"/>
              </w:rPr>
              <w:t>25</w:t>
            </w:r>
            <w:r>
              <w:rPr>
                <w:rFonts w:hint="default" w:ascii="Times New Roman" w:hAnsi="Times New Roman" w:cs="Times New Roman"/>
                <w:color w:val="000000"/>
                <w:kern w:val="0"/>
                <w:sz w:val="18"/>
                <w:szCs w:val="18"/>
              </w:rPr>
              <w:t>无裂纹</w:t>
            </w:r>
          </w:p>
        </w:tc>
        <w:tc>
          <w:tcPr>
            <w:tcW w:w="808"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w:t>
            </w:r>
            <w:r>
              <w:rPr>
                <w:rFonts w:ascii="Times New Roman" w:hAnsi="Times New Roman" w:cs="Times New Roman"/>
                <w:color w:val="000000"/>
                <w:kern w:val="0"/>
                <w:sz w:val="18"/>
                <w:szCs w:val="18"/>
              </w:rPr>
              <w:t>40</w:t>
            </w:r>
            <w:r>
              <w:rPr>
                <w:rFonts w:hint="default" w:ascii="Times New Roman" w:hAnsi="Times New Roman" w:cs="Times New Roman"/>
                <w:color w:val="000000"/>
                <w:kern w:val="0"/>
                <w:sz w:val="18"/>
                <w:szCs w:val="18"/>
              </w:rPr>
              <w:t>无裂纹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jc w:val="center"/>
        </w:trPr>
        <w:tc>
          <w:tcPr>
            <w:tcW w:w="388" w:type="pct"/>
            <w:vMerge w:val="restart"/>
            <w:tcBorders>
              <w:tl2br w:val="nil"/>
              <w:tr2bl w:val="nil"/>
            </w:tcBorders>
            <w:shd w:val="clear" w:color="auto" w:fill="auto"/>
            <w:vAlign w:val="center"/>
          </w:tcPr>
          <w:p>
            <w:pPr>
              <w:topLinePunct/>
              <w:spacing w:line="240" w:lineRule="exact"/>
              <w:jc w:val="left"/>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人工气候加速老化</w:t>
            </w:r>
          </w:p>
        </w:tc>
        <w:tc>
          <w:tcPr>
            <w:tcW w:w="405" w:type="pct"/>
            <w:vMerge w:val="restart"/>
            <w:tcBorders>
              <w:tl2br w:val="nil"/>
              <w:tr2bl w:val="nil"/>
            </w:tcBorders>
            <w:shd w:val="clear" w:color="auto" w:fill="auto"/>
            <w:vAlign w:val="center"/>
          </w:tcPr>
          <w:p>
            <w:pPr>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5000h</w:t>
            </w:r>
          </w:p>
        </w:tc>
        <w:tc>
          <w:tcPr>
            <w:tcW w:w="976" w:type="pct"/>
            <w:gridSpan w:val="2"/>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外观</w:t>
            </w:r>
          </w:p>
        </w:tc>
        <w:tc>
          <w:tcPr>
            <w:tcW w:w="810"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无起泡、裂纹、分层、粘结和孔洞</w:t>
            </w:r>
          </w:p>
        </w:tc>
        <w:tc>
          <w:tcPr>
            <w:tcW w:w="808"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无起泡、裂纹、分层、粘结和孔洞</w:t>
            </w:r>
          </w:p>
        </w:tc>
        <w:tc>
          <w:tcPr>
            <w:tcW w:w="801"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无起泡、裂纹、分层、粘结和孔洞</w:t>
            </w:r>
          </w:p>
        </w:tc>
        <w:tc>
          <w:tcPr>
            <w:tcW w:w="808"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无起泡、裂纹、分层、粘结和孔洞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4" w:hRule="atLeast"/>
          <w:jc w:val="center"/>
        </w:trPr>
        <w:tc>
          <w:tcPr>
            <w:tcW w:w="388" w:type="pct"/>
            <w:vMerge w:val="continue"/>
            <w:tcBorders>
              <w:tl2br w:val="nil"/>
              <w:tr2bl w:val="nil"/>
            </w:tcBorders>
            <w:shd w:val="clear" w:color="auto" w:fill="auto"/>
            <w:vAlign w:val="center"/>
          </w:tcPr>
          <w:p>
            <w:pPr>
              <w:topLinePunct/>
              <w:spacing w:line="240" w:lineRule="exact"/>
              <w:jc w:val="left"/>
              <w:rPr>
                <w:rFonts w:ascii="Times New Roman" w:hAnsi="Times New Roman" w:cs="Times New Roman"/>
                <w:color w:val="000000"/>
                <w:kern w:val="0"/>
                <w:sz w:val="18"/>
                <w:szCs w:val="18"/>
              </w:rPr>
            </w:pPr>
          </w:p>
        </w:tc>
        <w:tc>
          <w:tcPr>
            <w:tcW w:w="405" w:type="pct"/>
            <w:vMerge w:val="continue"/>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p>
        </w:tc>
        <w:tc>
          <w:tcPr>
            <w:tcW w:w="572" w:type="pct"/>
            <w:vMerge w:val="restar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拉伸强度保持率（</w:t>
            </w:r>
            <w:r>
              <w:rPr>
                <w:rFonts w:ascii="Times New Roman" w:hAnsi="Times New Roman" w:cs="Times New Roman"/>
                <w:color w:val="000000"/>
                <w:kern w:val="0"/>
                <w:sz w:val="18"/>
                <w:szCs w:val="18"/>
              </w:rPr>
              <w:t>%</w:t>
            </w:r>
            <w:r>
              <w:rPr>
                <w:rFonts w:hint="default" w:ascii="Times New Roman" w:hAnsi="Times New Roman" w:cs="Times New Roman"/>
                <w:color w:val="000000"/>
                <w:kern w:val="0"/>
                <w:sz w:val="18"/>
                <w:szCs w:val="18"/>
              </w:rPr>
              <w:t>）</w:t>
            </w:r>
          </w:p>
        </w:tc>
        <w:tc>
          <w:tcPr>
            <w:tcW w:w="403"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纵向</w:t>
            </w:r>
          </w:p>
        </w:tc>
        <w:tc>
          <w:tcPr>
            <w:tcW w:w="810"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88</w:t>
            </w:r>
          </w:p>
        </w:tc>
        <w:tc>
          <w:tcPr>
            <w:tcW w:w="808"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103</w:t>
            </w:r>
          </w:p>
        </w:tc>
        <w:tc>
          <w:tcPr>
            <w:tcW w:w="801"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88</w:t>
            </w:r>
          </w:p>
        </w:tc>
        <w:tc>
          <w:tcPr>
            <w:tcW w:w="808"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jc w:val="center"/>
        </w:trPr>
        <w:tc>
          <w:tcPr>
            <w:tcW w:w="388" w:type="pct"/>
            <w:vMerge w:val="continue"/>
            <w:tcBorders>
              <w:tl2br w:val="nil"/>
              <w:tr2bl w:val="nil"/>
            </w:tcBorders>
            <w:shd w:val="clear" w:color="auto" w:fill="auto"/>
            <w:vAlign w:val="center"/>
          </w:tcPr>
          <w:p>
            <w:pPr>
              <w:topLinePunct/>
              <w:spacing w:line="240" w:lineRule="exact"/>
              <w:jc w:val="left"/>
              <w:rPr>
                <w:rFonts w:ascii="Times New Roman" w:hAnsi="Times New Roman" w:cs="Times New Roman"/>
                <w:color w:val="000000"/>
                <w:kern w:val="0"/>
                <w:sz w:val="18"/>
                <w:szCs w:val="18"/>
              </w:rPr>
            </w:pPr>
          </w:p>
        </w:tc>
        <w:tc>
          <w:tcPr>
            <w:tcW w:w="405" w:type="pct"/>
            <w:vMerge w:val="continue"/>
            <w:tcBorders>
              <w:tl2br w:val="nil"/>
              <w:tr2bl w:val="nil"/>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572" w:type="pct"/>
            <w:vMerge w:val="continue"/>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p>
        </w:tc>
        <w:tc>
          <w:tcPr>
            <w:tcW w:w="403"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横向</w:t>
            </w:r>
          </w:p>
        </w:tc>
        <w:tc>
          <w:tcPr>
            <w:tcW w:w="810"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9</w:t>
            </w:r>
            <w:r>
              <w:rPr>
                <w:rFonts w:ascii="Times New Roman" w:hAnsi="Times New Roman" w:cs="Times New Roman"/>
                <w:color w:val="000000"/>
                <w:kern w:val="0"/>
                <w:sz w:val="18"/>
                <w:szCs w:val="18"/>
              </w:rPr>
              <w:t>0</w:t>
            </w:r>
          </w:p>
        </w:tc>
        <w:tc>
          <w:tcPr>
            <w:tcW w:w="808"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122</w:t>
            </w:r>
          </w:p>
        </w:tc>
        <w:tc>
          <w:tcPr>
            <w:tcW w:w="801"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89</w:t>
            </w:r>
          </w:p>
        </w:tc>
        <w:tc>
          <w:tcPr>
            <w:tcW w:w="808"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4" w:hRule="atLeast"/>
          <w:jc w:val="center"/>
        </w:trPr>
        <w:tc>
          <w:tcPr>
            <w:tcW w:w="388" w:type="pct"/>
            <w:vMerge w:val="continue"/>
            <w:tcBorders>
              <w:tl2br w:val="nil"/>
              <w:tr2bl w:val="nil"/>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405" w:type="pct"/>
            <w:vMerge w:val="continue"/>
            <w:tcBorders>
              <w:tl2br w:val="nil"/>
              <w:tr2bl w:val="nil"/>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572" w:type="pct"/>
            <w:vMerge w:val="restar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断裂伸长率保持率（</w:t>
            </w:r>
            <w:r>
              <w:rPr>
                <w:rFonts w:ascii="Times New Roman" w:hAnsi="Times New Roman" w:cs="Times New Roman"/>
                <w:color w:val="000000"/>
                <w:kern w:val="0"/>
                <w:sz w:val="18"/>
                <w:szCs w:val="18"/>
              </w:rPr>
              <w:t>%</w:t>
            </w:r>
            <w:r>
              <w:rPr>
                <w:rFonts w:hint="default" w:ascii="Times New Roman" w:hAnsi="Times New Roman" w:cs="Times New Roman"/>
                <w:color w:val="000000"/>
                <w:kern w:val="0"/>
                <w:sz w:val="18"/>
                <w:szCs w:val="18"/>
              </w:rPr>
              <w:t>）</w:t>
            </w:r>
          </w:p>
        </w:tc>
        <w:tc>
          <w:tcPr>
            <w:tcW w:w="403"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纵向</w:t>
            </w:r>
          </w:p>
        </w:tc>
        <w:tc>
          <w:tcPr>
            <w:tcW w:w="810"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84</w:t>
            </w:r>
          </w:p>
        </w:tc>
        <w:tc>
          <w:tcPr>
            <w:tcW w:w="808"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107</w:t>
            </w:r>
          </w:p>
        </w:tc>
        <w:tc>
          <w:tcPr>
            <w:tcW w:w="801"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93</w:t>
            </w:r>
          </w:p>
        </w:tc>
        <w:tc>
          <w:tcPr>
            <w:tcW w:w="808"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4" w:hRule="atLeast"/>
          <w:jc w:val="center"/>
        </w:trPr>
        <w:tc>
          <w:tcPr>
            <w:tcW w:w="388" w:type="pct"/>
            <w:vMerge w:val="continue"/>
            <w:tcBorders>
              <w:tl2br w:val="nil"/>
              <w:tr2bl w:val="nil"/>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405" w:type="pct"/>
            <w:vMerge w:val="continue"/>
            <w:tcBorders>
              <w:tl2br w:val="nil"/>
              <w:tr2bl w:val="nil"/>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572" w:type="pct"/>
            <w:vMerge w:val="continue"/>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p>
        </w:tc>
        <w:tc>
          <w:tcPr>
            <w:tcW w:w="403"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横向</w:t>
            </w:r>
          </w:p>
        </w:tc>
        <w:tc>
          <w:tcPr>
            <w:tcW w:w="810"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8</w:t>
            </w:r>
            <w:r>
              <w:rPr>
                <w:rFonts w:ascii="Times New Roman" w:hAnsi="Times New Roman" w:cs="Times New Roman"/>
                <w:color w:val="000000"/>
                <w:kern w:val="0"/>
                <w:sz w:val="18"/>
                <w:szCs w:val="18"/>
              </w:rPr>
              <w:t>4</w:t>
            </w:r>
          </w:p>
        </w:tc>
        <w:tc>
          <w:tcPr>
            <w:tcW w:w="808"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113</w:t>
            </w:r>
          </w:p>
        </w:tc>
        <w:tc>
          <w:tcPr>
            <w:tcW w:w="801"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98</w:t>
            </w:r>
          </w:p>
        </w:tc>
        <w:tc>
          <w:tcPr>
            <w:tcW w:w="808"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8" w:hRule="atLeast"/>
          <w:jc w:val="center"/>
        </w:trPr>
        <w:tc>
          <w:tcPr>
            <w:tcW w:w="388" w:type="pct"/>
            <w:vMerge w:val="continue"/>
            <w:tcBorders>
              <w:tl2br w:val="nil"/>
              <w:tr2bl w:val="nil"/>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405" w:type="pct"/>
            <w:vMerge w:val="continue"/>
            <w:tcBorders>
              <w:tl2br w:val="nil"/>
              <w:tr2bl w:val="nil"/>
            </w:tcBorders>
            <w:shd w:val="clear" w:color="auto" w:fill="auto"/>
            <w:vAlign w:val="center"/>
          </w:tcPr>
          <w:p>
            <w:pPr>
              <w:widowControl/>
              <w:topLinePunct/>
              <w:spacing w:line="240" w:lineRule="exact"/>
              <w:jc w:val="left"/>
              <w:rPr>
                <w:rFonts w:ascii="Times New Roman" w:hAnsi="Times New Roman" w:cs="Times New Roman"/>
                <w:color w:val="000000"/>
                <w:kern w:val="0"/>
                <w:sz w:val="18"/>
                <w:szCs w:val="18"/>
              </w:rPr>
            </w:pPr>
          </w:p>
        </w:tc>
        <w:tc>
          <w:tcPr>
            <w:tcW w:w="572"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低温弯折</w:t>
            </w:r>
          </w:p>
        </w:tc>
        <w:tc>
          <w:tcPr>
            <w:tcW w:w="403"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w:t>
            </w:r>
          </w:p>
        </w:tc>
        <w:tc>
          <w:tcPr>
            <w:tcW w:w="810"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r>
              <w:rPr>
                <w:rFonts w:hint="default" w:ascii="Times New Roman" w:hAnsi="Times New Roman" w:cs="Times New Roman"/>
                <w:color w:val="000000"/>
                <w:kern w:val="0"/>
                <w:sz w:val="18"/>
                <w:szCs w:val="18"/>
              </w:rPr>
              <w:t>无裂纹</w:t>
            </w:r>
          </w:p>
        </w:tc>
        <w:tc>
          <w:tcPr>
            <w:tcW w:w="808"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w:t>
            </w:r>
            <w:r>
              <w:rPr>
                <w:rFonts w:ascii="Times New Roman" w:hAnsi="Times New Roman" w:cs="Times New Roman"/>
                <w:color w:val="000000"/>
                <w:kern w:val="0"/>
                <w:sz w:val="18"/>
                <w:szCs w:val="18"/>
              </w:rPr>
              <w:t>40</w:t>
            </w:r>
            <w:r>
              <w:rPr>
                <w:rFonts w:hint="default" w:ascii="Times New Roman" w:hAnsi="Times New Roman" w:cs="Times New Roman"/>
                <w:color w:val="000000"/>
                <w:kern w:val="0"/>
                <w:sz w:val="18"/>
                <w:szCs w:val="18"/>
              </w:rPr>
              <w:t>无裂纹</w:t>
            </w:r>
          </w:p>
        </w:tc>
        <w:tc>
          <w:tcPr>
            <w:tcW w:w="801"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w:t>
            </w:r>
            <w:r>
              <w:rPr>
                <w:rFonts w:ascii="Times New Roman" w:hAnsi="Times New Roman" w:cs="Times New Roman"/>
                <w:color w:val="000000"/>
                <w:kern w:val="0"/>
                <w:sz w:val="18"/>
                <w:szCs w:val="18"/>
              </w:rPr>
              <w:t>20</w:t>
            </w:r>
            <w:r>
              <w:rPr>
                <w:rFonts w:hint="default" w:ascii="Times New Roman" w:hAnsi="Times New Roman" w:cs="Times New Roman"/>
                <w:color w:val="000000"/>
                <w:kern w:val="0"/>
                <w:sz w:val="18"/>
                <w:szCs w:val="18"/>
              </w:rPr>
              <w:t>无裂纹</w:t>
            </w:r>
          </w:p>
        </w:tc>
        <w:tc>
          <w:tcPr>
            <w:tcW w:w="808"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w:t>
            </w:r>
            <w:r>
              <w:rPr>
                <w:rFonts w:ascii="Times New Roman" w:hAnsi="Times New Roman" w:cs="Times New Roman"/>
                <w:color w:val="000000"/>
                <w:kern w:val="0"/>
                <w:sz w:val="18"/>
                <w:szCs w:val="18"/>
              </w:rPr>
              <w:t>40</w:t>
            </w:r>
            <w:r>
              <w:rPr>
                <w:rFonts w:hint="default" w:ascii="Times New Roman" w:hAnsi="Times New Roman" w:cs="Times New Roman"/>
                <w:color w:val="000000"/>
                <w:kern w:val="0"/>
                <w:sz w:val="18"/>
                <w:szCs w:val="18"/>
              </w:rPr>
              <w:t>无裂纹</w:t>
            </w:r>
          </w:p>
        </w:tc>
      </w:tr>
    </w:tbl>
    <w:p>
      <w:pPr>
        <w:spacing w:line="440" w:lineRule="exact"/>
        <w:ind w:firstLine="431" w:firstLineChars="196"/>
        <w:jc w:val="left"/>
        <w:rPr>
          <w:rFonts w:hint="eastAsia"/>
          <w:sz w:val="22"/>
          <w:szCs w:val="22"/>
        </w:rPr>
      </w:pPr>
      <w:r>
        <w:rPr>
          <w:rFonts w:hint="eastAsia"/>
          <w:sz w:val="22"/>
          <w:szCs w:val="22"/>
        </w:rPr>
        <w:t>试验5000h，PVC、TPO、KEE和橡胶类等产品各项性能均没有发生明显衰减。</w:t>
      </w:r>
    </w:p>
    <w:p>
      <w:pPr>
        <w:pStyle w:val="63"/>
        <w:numPr>
          <w:ilvl w:val="0"/>
          <w:numId w:val="0"/>
        </w:numPr>
        <w:topLinePunct/>
        <w:spacing w:beforeLines="0" w:afterLines="0" w:line="360" w:lineRule="auto"/>
        <w:rPr>
          <w:rFonts w:hint="eastAsia" w:ascii="Times New Roman" w:hAnsi="Times New Roman" w:eastAsia="宋体"/>
          <w:b/>
          <w:bCs/>
          <w:kern w:val="2"/>
          <w:szCs w:val="24"/>
          <w:lang w:eastAsia="zh-CN"/>
        </w:rPr>
      </w:pPr>
      <w:r>
        <w:rPr>
          <w:rFonts w:hint="eastAsia" w:ascii="Times New Roman" w:eastAsia="宋体"/>
          <w:b/>
          <w:bCs/>
          <w:kern w:val="2"/>
          <w:szCs w:val="24"/>
        </w:rPr>
        <w:t>高分子防水卷材试验结果10000h氙灯</w:t>
      </w:r>
      <w:r>
        <w:rPr>
          <w:rFonts w:hint="eastAsia" w:ascii="Times New Roman" w:eastAsia="宋体"/>
          <w:b/>
          <w:bCs/>
          <w:kern w:val="2"/>
          <w:szCs w:val="24"/>
          <w:lang w:eastAsia="zh-CN"/>
        </w:rPr>
        <w:t>结果</w:t>
      </w:r>
    </w:p>
    <w:tbl>
      <w:tblPr>
        <w:tblStyle w:val="24"/>
        <w:tblW w:w="48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53"/>
        <w:gridCol w:w="843"/>
        <w:gridCol w:w="1148"/>
        <w:gridCol w:w="702"/>
        <w:gridCol w:w="2490"/>
        <w:gridCol w:w="25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965" w:type="pct"/>
            <w:gridSpan w:val="4"/>
            <w:tcBorders>
              <w:tl2br w:val="nil"/>
              <w:tr2bl w:val="nil"/>
            </w:tcBorders>
            <w:shd w:val="clear" w:color="auto" w:fill="auto"/>
            <w:vAlign w:val="center"/>
          </w:tcPr>
          <w:p>
            <w:pPr>
              <w:widowControl/>
              <w:topLinePunct/>
              <w:spacing w:line="240" w:lineRule="exact"/>
              <w:jc w:val="center"/>
              <w:rPr>
                <w:rFonts w:ascii="Times New Roman" w:hAnsi="Times New Roman" w:cs="Times New Roman"/>
                <w:b/>
                <w:bCs/>
                <w:color w:val="000000"/>
                <w:kern w:val="0"/>
                <w:sz w:val="20"/>
                <w:szCs w:val="20"/>
              </w:rPr>
            </w:pPr>
            <w:r>
              <w:rPr>
                <w:rFonts w:hint="default" w:ascii="Times New Roman" w:hAnsi="Times New Roman" w:cs="Times New Roman"/>
                <w:b/>
                <w:bCs/>
                <w:color w:val="000000"/>
                <w:kern w:val="0"/>
                <w:sz w:val="20"/>
                <w:szCs w:val="20"/>
              </w:rPr>
              <w:t>产品种类</w:t>
            </w:r>
          </w:p>
        </w:tc>
        <w:tc>
          <w:tcPr>
            <w:tcW w:w="1507"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b/>
                <w:bCs/>
                <w:color w:val="000000"/>
                <w:kern w:val="0"/>
                <w:sz w:val="20"/>
                <w:szCs w:val="20"/>
              </w:rPr>
            </w:pPr>
            <w:r>
              <w:rPr>
                <w:rFonts w:hint="default" w:ascii="Times New Roman" w:hAnsi="Times New Roman" w:cs="Times New Roman"/>
                <w:b/>
                <w:bCs/>
                <w:color w:val="000000"/>
                <w:kern w:val="0"/>
                <w:sz w:val="20"/>
                <w:szCs w:val="20"/>
              </w:rPr>
              <w:t>TPO</w:t>
            </w:r>
          </w:p>
        </w:tc>
        <w:tc>
          <w:tcPr>
            <w:tcW w:w="1527"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b/>
                <w:bCs/>
                <w:color w:val="000000"/>
                <w:kern w:val="0"/>
                <w:sz w:val="20"/>
                <w:szCs w:val="20"/>
              </w:rPr>
            </w:pPr>
            <w:r>
              <w:rPr>
                <w:rFonts w:hint="default" w:ascii="Times New Roman" w:hAnsi="Times New Roman" w:cs="Times New Roman"/>
                <w:b/>
                <w:bCs/>
                <w:color w:val="000000"/>
                <w:kern w:val="0"/>
                <w:sz w:val="20"/>
                <w:szCs w:val="20"/>
              </w:rPr>
              <w:t>P</w:t>
            </w:r>
            <w:r>
              <w:rPr>
                <w:rFonts w:ascii="Times New Roman" w:hAnsi="Times New Roman" w:cs="Times New Roman"/>
                <w:b/>
                <w:bCs/>
                <w:color w:val="000000"/>
                <w:kern w:val="0"/>
                <w:sz w:val="20"/>
                <w:szCs w:val="20"/>
              </w:rPr>
              <w:t>VC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9" w:hRule="atLeast"/>
          <w:jc w:val="center"/>
        </w:trPr>
        <w:tc>
          <w:tcPr>
            <w:tcW w:w="1965" w:type="pct"/>
            <w:gridSpan w:val="4"/>
            <w:tcBorders>
              <w:tl2br w:val="nil"/>
              <w:tr2bl w:val="nil"/>
            </w:tcBorders>
            <w:shd w:val="clear" w:color="auto" w:fill="auto"/>
            <w:vAlign w:val="center"/>
          </w:tcPr>
          <w:p>
            <w:pPr>
              <w:widowControl/>
              <w:topLinePunct/>
              <w:spacing w:line="240" w:lineRule="exact"/>
              <w:jc w:val="center"/>
              <w:rPr>
                <w:rFonts w:ascii="Times New Roman" w:hAnsi="Times New Roman" w:cs="Times New Roman"/>
                <w:b/>
                <w:bCs/>
                <w:color w:val="000000"/>
                <w:kern w:val="0"/>
                <w:sz w:val="20"/>
                <w:szCs w:val="20"/>
              </w:rPr>
            </w:pPr>
            <w:r>
              <w:rPr>
                <w:rFonts w:hint="default" w:ascii="Times New Roman" w:hAnsi="Times New Roman" w:cs="Times New Roman"/>
                <w:b/>
                <w:bCs/>
                <w:color w:val="000000"/>
                <w:kern w:val="0"/>
                <w:sz w:val="20"/>
                <w:szCs w:val="20"/>
              </w:rPr>
              <w:t>规格型号</w:t>
            </w:r>
          </w:p>
        </w:tc>
        <w:tc>
          <w:tcPr>
            <w:tcW w:w="1507"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b/>
                <w:bCs/>
                <w:color w:val="000000"/>
                <w:kern w:val="0"/>
                <w:sz w:val="20"/>
                <w:szCs w:val="20"/>
              </w:rPr>
            </w:pPr>
            <w:r>
              <w:rPr>
                <w:rFonts w:hint="default" w:ascii="Times New Roman" w:hAnsi="Times New Roman" w:cs="Times New Roman"/>
                <w:b/>
                <w:bCs/>
                <w:color w:val="000000"/>
                <w:kern w:val="0"/>
                <w:sz w:val="20"/>
                <w:szCs w:val="20"/>
              </w:rPr>
              <w:t>P</w:t>
            </w:r>
            <w:r>
              <w:rPr>
                <w:rFonts w:ascii="Times New Roman" w:hAnsi="Times New Roman" w:cs="Times New Roman"/>
                <w:b/>
                <w:bCs/>
                <w:color w:val="000000"/>
                <w:kern w:val="0"/>
                <w:sz w:val="20"/>
                <w:szCs w:val="20"/>
              </w:rPr>
              <w:t xml:space="preserve"> 1.5</w:t>
            </w:r>
          </w:p>
        </w:tc>
        <w:tc>
          <w:tcPr>
            <w:tcW w:w="1527"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b/>
                <w:bCs/>
                <w:color w:val="000000"/>
                <w:kern w:val="0"/>
                <w:sz w:val="20"/>
                <w:szCs w:val="20"/>
              </w:rPr>
            </w:pPr>
            <w:r>
              <w:rPr>
                <w:rFonts w:hint="default" w:ascii="Times New Roman" w:hAnsi="Times New Roman" w:cs="Times New Roman"/>
                <w:b/>
                <w:bCs/>
                <w:color w:val="000000"/>
                <w:kern w:val="0"/>
                <w:sz w:val="20"/>
                <w:szCs w:val="20"/>
              </w:rPr>
              <w:t>P</w:t>
            </w:r>
            <w:r>
              <w:rPr>
                <w:rFonts w:ascii="Times New Roman" w:hAnsi="Times New Roman" w:cs="Times New Roman"/>
                <w:b/>
                <w:bCs/>
                <w:color w:val="000000"/>
                <w:kern w:val="0"/>
                <w:sz w:val="20"/>
                <w:szCs w:val="20"/>
              </w:rPr>
              <w:t xml:space="preserve"> 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9" w:hRule="atLeast"/>
          <w:jc w:val="center"/>
        </w:trPr>
        <w:tc>
          <w:tcPr>
            <w:tcW w:w="845" w:type="pct"/>
            <w:gridSpan w:val="2"/>
            <w:vMerge w:val="restar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原始数值</w:t>
            </w:r>
          </w:p>
        </w:tc>
        <w:tc>
          <w:tcPr>
            <w:tcW w:w="695" w:type="pct"/>
            <w:vMerge w:val="restar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拉伸强度（</w:t>
            </w:r>
            <w:r>
              <w:rPr>
                <w:rFonts w:ascii="Times New Roman" w:hAnsi="Times New Roman" w:cs="Times New Roman"/>
                <w:color w:val="000000"/>
                <w:kern w:val="0"/>
                <w:sz w:val="18"/>
                <w:szCs w:val="18"/>
              </w:rPr>
              <w:t>M</w:t>
            </w:r>
            <w:r>
              <w:rPr>
                <w:rFonts w:hint="default" w:ascii="Times New Roman" w:hAnsi="Times New Roman" w:cs="Times New Roman"/>
                <w:color w:val="000000"/>
                <w:kern w:val="0"/>
                <w:sz w:val="18"/>
                <w:szCs w:val="18"/>
              </w:rPr>
              <w:t>P</w:t>
            </w:r>
            <w:r>
              <w:rPr>
                <w:rFonts w:ascii="Times New Roman" w:hAnsi="Times New Roman" w:cs="Times New Roman"/>
                <w:color w:val="000000"/>
                <w:kern w:val="0"/>
                <w:sz w:val="18"/>
                <w:szCs w:val="18"/>
              </w:rPr>
              <w:t>a</w:t>
            </w:r>
            <w:r>
              <w:rPr>
                <w:rFonts w:hint="default" w:ascii="Times New Roman" w:hAnsi="Times New Roman" w:cs="Times New Roman"/>
                <w:color w:val="000000"/>
                <w:kern w:val="0"/>
                <w:sz w:val="18"/>
                <w:szCs w:val="18"/>
              </w:rPr>
              <w:t>）</w:t>
            </w:r>
          </w:p>
        </w:tc>
        <w:tc>
          <w:tcPr>
            <w:tcW w:w="423"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纵向</w:t>
            </w:r>
          </w:p>
        </w:tc>
        <w:tc>
          <w:tcPr>
            <w:tcW w:w="1507"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370</w:t>
            </w:r>
            <w:r>
              <w:rPr>
                <w:rFonts w:ascii="Times New Roman" w:hAnsi="Times New Roman" w:cs="Times New Roman"/>
                <w:color w:val="000000"/>
                <w:kern w:val="0"/>
                <w:sz w:val="18"/>
                <w:szCs w:val="18"/>
              </w:rPr>
              <w:t xml:space="preserve"> N/</w:t>
            </w:r>
            <w:r>
              <w:rPr>
                <w:rFonts w:hint="default" w:ascii="Times New Roman" w:hAnsi="Times New Roman" w:cs="Times New Roman"/>
                <w:color w:val="000000"/>
                <w:kern w:val="0"/>
                <w:sz w:val="18"/>
                <w:szCs w:val="18"/>
              </w:rPr>
              <w:t>c</w:t>
            </w:r>
            <w:r>
              <w:rPr>
                <w:rFonts w:ascii="Times New Roman" w:hAnsi="Times New Roman" w:cs="Times New Roman"/>
                <w:color w:val="000000"/>
                <w:kern w:val="0"/>
                <w:sz w:val="18"/>
                <w:szCs w:val="18"/>
              </w:rPr>
              <w:t>m</w:t>
            </w:r>
          </w:p>
        </w:tc>
        <w:tc>
          <w:tcPr>
            <w:tcW w:w="1527"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301</w:t>
            </w:r>
            <w:r>
              <w:rPr>
                <w:rFonts w:ascii="Times New Roman" w:hAnsi="Times New Roman" w:cs="Times New Roman"/>
                <w:color w:val="000000"/>
                <w:kern w:val="0"/>
                <w:sz w:val="18"/>
                <w:szCs w:val="18"/>
              </w:rPr>
              <w:t xml:space="preserve"> N/</w:t>
            </w:r>
            <w:r>
              <w:rPr>
                <w:rFonts w:hint="default" w:ascii="Times New Roman" w:hAnsi="Times New Roman" w:cs="Times New Roman"/>
                <w:color w:val="000000"/>
                <w:kern w:val="0"/>
                <w:sz w:val="18"/>
                <w:szCs w:val="18"/>
              </w:rPr>
              <w:t>c</w:t>
            </w:r>
            <w:r>
              <w:rPr>
                <w:rFonts w:ascii="Times New Roman" w:hAnsi="Times New Roman" w:cs="Times New Roman"/>
                <w:color w:val="000000"/>
                <w:kern w:val="0"/>
                <w:sz w:val="18"/>
                <w:szCs w:val="18"/>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9" w:hRule="atLeast"/>
          <w:jc w:val="center"/>
        </w:trPr>
        <w:tc>
          <w:tcPr>
            <w:tcW w:w="845" w:type="pct"/>
            <w:gridSpan w:val="2"/>
            <w:vMerge w:val="continue"/>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p>
        </w:tc>
        <w:tc>
          <w:tcPr>
            <w:tcW w:w="695" w:type="pct"/>
            <w:vMerge w:val="continue"/>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p>
        </w:tc>
        <w:tc>
          <w:tcPr>
            <w:tcW w:w="423"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横向</w:t>
            </w:r>
          </w:p>
        </w:tc>
        <w:tc>
          <w:tcPr>
            <w:tcW w:w="1507"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391</w:t>
            </w:r>
            <w:r>
              <w:rPr>
                <w:rFonts w:ascii="Times New Roman" w:hAnsi="Times New Roman" w:cs="Times New Roman"/>
                <w:color w:val="000000"/>
                <w:kern w:val="0"/>
                <w:sz w:val="18"/>
                <w:szCs w:val="18"/>
              </w:rPr>
              <w:t xml:space="preserve"> N/</w:t>
            </w:r>
            <w:r>
              <w:rPr>
                <w:rFonts w:hint="default" w:ascii="Times New Roman" w:hAnsi="Times New Roman" w:cs="Times New Roman"/>
                <w:color w:val="000000"/>
                <w:kern w:val="0"/>
                <w:sz w:val="18"/>
                <w:szCs w:val="18"/>
              </w:rPr>
              <w:t>c</w:t>
            </w:r>
            <w:r>
              <w:rPr>
                <w:rFonts w:ascii="Times New Roman" w:hAnsi="Times New Roman" w:cs="Times New Roman"/>
                <w:color w:val="000000"/>
                <w:kern w:val="0"/>
                <w:sz w:val="18"/>
                <w:szCs w:val="18"/>
              </w:rPr>
              <w:t>m</w:t>
            </w:r>
          </w:p>
        </w:tc>
        <w:tc>
          <w:tcPr>
            <w:tcW w:w="1527"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282</w:t>
            </w:r>
            <w:r>
              <w:rPr>
                <w:rFonts w:ascii="Times New Roman" w:hAnsi="Times New Roman" w:cs="Times New Roman"/>
                <w:color w:val="000000"/>
                <w:kern w:val="0"/>
                <w:sz w:val="18"/>
                <w:szCs w:val="18"/>
              </w:rPr>
              <w:t xml:space="preserve"> N/</w:t>
            </w:r>
            <w:r>
              <w:rPr>
                <w:rFonts w:hint="default" w:ascii="Times New Roman" w:hAnsi="Times New Roman" w:cs="Times New Roman"/>
                <w:color w:val="000000"/>
                <w:kern w:val="0"/>
                <w:sz w:val="18"/>
                <w:szCs w:val="18"/>
              </w:rPr>
              <w:t>c</w:t>
            </w:r>
            <w:r>
              <w:rPr>
                <w:rFonts w:ascii="Times New Roman" w:hAnsi="Times New Roman" w:cs="Times New Roman"/>
                <w:color w:val="000000"/>
                <w:kern w:val="0"/>
                <w:sz w:val="18"/>
                <w:szCs w:val="18"/>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9" w:hRule="atLeast"/>
          <w:jc w:val="center"/>
        </w:trPr>
        <w:tc>
          <w:tcPr>
            <w:tcW w:w="845" w:type="pct"/>
            <w:gridSpan w:val="2"/>
            <w:vMerge w:val="continue"/>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p>
        </w:tc>
        <w:tc>
          <w:tcPr>
            <w:tcW w:w="695" w:type="pct"/>
            <w:vMerge w:val="restar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断裂伸长率（</w:t>
            </w:r>
            <w:r>
              <w:rPr>
                <w:rFonts w:ascii="Times New Roman" w:hAnsi="Times New Roman" w:cs="Times New Roman"/>
                <w:color w:val="000000"/>
                <w:kern w:val="0"/>
                <w:sz w:val="18"/>
                <w:szCs w:val="18"/>
              </w:rPr>
              <w:t>%</w:t>
            </w:r>
            <w:r>
              <w:rPr>
                <w:rFonts w:hint="default" w:ascii="Times New Roman" w:hAnsi="Times New Roman" w:cs="Times New Roman"/>
                <w:color w:val="000000"/>
                <w:kern w:val="0"/>
                <w:sz w:val="18"/>
                <w:szCs w:val="18"/>
              </w:rPr>
              <w:t>）</w:t>
            </w:r>
          </w:p>
        </w:tc>
        <w:tc>
          <w:tcPr>
            <w:tcW w:w="423"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纵向</w:t>
            </w:r>
          </w:p>
        </w:tc>
        <w:tc>
          <w:tcPr>
            <w:tcW w:w="1507"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20</w:t>
            </w:r>
          </w:p>
        </w:tc>
        <w:tc>
          <w:tcPr>
            <w:tcW w:w="1527"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9" w:hRule="atLeast"/>
          <w:jc w:val="center"/>
        </w:trPr>
        <w:tc>
          <w:tcPr>
            <w:tcW w:w="845" w:type="pct"/>
            <w:gridSpan w:val="2"/>
            <w:vMerge w:val="continue"/>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p>
        </w:tc>
        <w:tc>
          <w:tcPr>
            <w:tcW w:w="695" w:type="pct"/>
            <w:vMerge w:val="continue"/>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p>
        </w:tc>
        <w:tc>
          <w:tcPr>
            <w:tcW w:w="423"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横向</w:t>
            </w:r>
          </w:p>
        </w:tc>
        <w:tc>
          <w:tcPr>
            <w:tcW w:w="1507"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22</w:t>
            </w:r>
          </w:p>
        </w:tc>
        <w:tc>
          <w:tcPr>
            <w:tcW w:w="1527"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9" w:hRule="atLeast"/>
          <w:jc w:val="center"/>
        </w:trPr>
        <w:tc>
          <w:tcPr>
            <w:tcW w:w="845" w:type="pct"/>
            <w:gridSpan w:val="2"/>
            <w:vMerge w:val="continue"/>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p>
        </w:tc>
        <w:tc>
          <w:tcPr>
            <w:tcW w:w="695"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低温弯折</w:t>
            </w:r>
          </w:p>
        </w:tc>
        <w:tc>
          <w:tcPr>
            <w:tcW w:w="423"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w:t>
            </w:r>
          </w:p>
        </w:tc>
        <w:tc>
          <w:tcPr>
            <w:tcW w:w="1507"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w:t>
            </w:r>
            <w:r>
              <w:rPr>
                <w:rFonts w:ascii="Times New Roman" w:hAnsi="Times New Roman" w:cs="Times New Roman"/>
                <w:color w:val="000000"/>
                <w:kern w:val="0"/>
                <w:sz w:val="18"/>
                <w:szCs w:val="18"/>
              </w:rPr>
              <w:t>40</w:t>
            </w:r>
            <w:r>
              <w:rPr>
                <w:rFonts w:hint="default" w:ascii="Times New Roman" w:hAnsi="Times New Roman" w:cs="Times New Roman"/>
                <w:color w:val="000000"/>
                <w:kern w:val="0"/>
                <w:sz w:val="18"/>
                <w:szCs w:val="18"/>
              </w:rPr>
              <w:t>无裂纹</w:t>
            </w:r>
          </w:p>
        </w:tc>
        <w:tc>
          <w:tcPr>
            <w:tcW w:w="1527"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w:t>
            </w:r>
            <w:r>
              <w:rPr>
                <w:rFonts w:ascii="Times New Roman" w:hAnsi="Times New Roman" w:cs="Times New Roman"/>
                <w:color w:val="000000"/>
                <w:kern w:val="0"/>
                <w:sz w:val="18"/>
                <w:szCs w:val="18"/>
              </w:rPr>
              <w:t xml:space="preserve">25 </w:t>
            </w:r>
            <w:r>
              <w:rPr>
                <w:rFonts w:hint="default" w:ascii="Times New Roman" w:hAnsi="Times New Roman" w:cs="Times New Roman"/>
                <w:color w:val="000000"/>
                <w:kern w:val="0"/>
                <w:sz w:val="18"/>
                <w:szCs w:val="18"/>
              </w:rPr>
              <w:t>无裂纹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9" w:hRule="atLeast"/>
          <w:jc w:val="center"/>
        </w:trPr>
        <w:tc>
          <w:tcPr>
            <w:tcW w:w="335" w:type="pct"/>
            <w:vMerge w:val="restart"/>
            <w:tcBorders>
              <w:tl2br w:val="nil"/>
              <w:tr2bl w:val="nil"/>
            </w:tcBorders>
            <w:shd w:val="clear" w:color="auto" w:fill="auto"/>
            <w:vAlign w:val="center"/>
          </w:tcPr>
          <w:p>
            <w:pPr>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人工气候加速老化</w:t>
            </w:r>
          </w:p>
        </w:tc>
        <w:tc>
          <w:tcPr>
            <w:tcW w:w="510" w:type="pct"/>
            <w:vMerge w:val="restart"/>
            <w:tcBorders>
              <w:tl2br w:val="nil"/>
              <w:tr2bl w:val="nil"/>
            </w:tcBorders>
            <w:shd w:val="clear" w:color="auto" w:fill="auto"/>
            <w:vAlign w:val="center"/>
          </w:tcPr>
          <w:p>
            <w:pPr>
              <w:topLinePunct/>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10000h</w:t>
            </w:r>
          </w:p>
        </w:tc>
        <w:tc>
          <w:tcPr>
            <w:tcW w:w="1119" w:type="pct"/>
            <w:gridSpan w:val="2"/>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外观</w:t>
            </w:r>
          </w:p>
        </w:tc>
        <w:tc>
          <w:tcPr>
            <w:tcW w:w="1507"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无起泡、裂纹、分层、粘结和孔洞</w:t>
            </w:r>
          </w:p>
        </w:tc>
        <w:tc>
          <w:tcPr>
            <w:tcW w:w="1527"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无起泡、裂纹、分层、粘结和孔洞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35" w:type="pct"/>
            <w:vMerge w:val="continue"/>
            <w:tcBorders>
              <w:tl2br w:val="nil"/>
              <w:tr2bl w:val="nil"/>
            </w:tcBorders>
            <w:shd w:val="clear" w:color="auto" w:fill="auto"/>
            <w:vAlign w:val="center"/>
          </w:tcPr>
          <w:p>
            <w:pPr>
              <w:topLinePunct/>
              <w:spacing w:line="240" w:lineRule="exact"/>
              <w:jc w:val="center"/>
              <w:rPr>
                <w:rFonts w:ascii="Times New Roman" w:hAnsi="Times New Roman" w:cs="Times New Roman"/>
                <w:color w:val="000000"/>
                <w:kern w:val="0"/>
                <w:sz w:val="18"/>
                <w:szCs w:val="18"/>
              </w:rPr>
            </w:pPr>
          </w:p>
        </w:tc>
        <w:tc>
          <w:tcPr>
            <w:tcW w:w="510" w:type="pct"/>
            <w:vMerge w:val="continue"/>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p>
        </w:tc>
        <w:tc>
          <w:tcPr>
            <w:tcW w:w="695" w:type="pct"/>
            <w:vMerge w:val="restar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拉伸强度保持率（</w:t>
            </w:r>
            <w:r>
              <w:rPr>
                <w:rFonts w:ascii="Times New Roman" w:hAnsi="Times New Roman" w:cs="Times New Roman"/>
                <w:color w:val="000000"/>
                <w:kern w:val="0"/>
                <w:sz w:val="18"/>
                <w:szCs w:val="18"/>
              </w:rPr>
              <w:t>%</w:t>
            </w:r>
            <w:r>
              <w:rPr>
                <w:rFonts w:hint="default" w:ascii="Times New Roman" w:hAnsi="Times New Roman" w:cs="Times New Roman"/>
                <w:color w:val="000000"/>
                <w:kern w:val="0"/>
                <w:sz w:val="18"/>
                <w:szCs w:val="18"/>
              </w:rPr>
              <w:t>）</w:t>
            </w:r>
          </w:p>
        </w:tc>
        <w:tc>
          <w:tcPr>
            <w:tcW w:w="423"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纵向</w:t>
            </w:r>
          </w:p>
        </w:tc>
        <w:tc>
          <w:tcPr>
            <w:tcW w:w="1507"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9</w:t>
            </w:r>
            <w:r>
              <w:rPr>
                <w:rFonts w:ascii="Times New Roman" w:hAnsi="Times New Roman" w:cs="Times New Roman"/>
                <w:color w:val="000000"/>
                <w:kern w:val="0"/>
                <w:sz w:val="18"/>
                <w:szCs w:val="18"/>
              </w:rPr>
              <w:t>6</w:t>
            </w:r>
          </w:p>
        </w:tc>
        <w:tc>
          <w:tcPr>
            <w:tcW w:w="1527"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r>
              <w:rPr>
                <w:rFonts w:ascii="Times New Roman" w:hAnsi="Times New Roman" w:cs="Times New Roman"/>
                <w:color w:val="000000"/>
                <w:kern w:val="0"/>
                <w:sz w:val="18"/>
                <w:szCs w:val="18"/>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35" w:type="pct"/>
            <w:vMerge w:val="continue"/>
            <w:tcBorders>
              <w:tl2br w:val="nil"/>
              <w:tr2bl w:val="nil"/>
            </w:tcBorders>
            <w:shd w:val="clear" w:color="auto" w:fill="auto"/>
            <w:vAlign w:val="center"/>
          </w:tcPr>
          <w:p>
            <w:pPr>
              <w:topLinePunct/>
              <w:spacing w:line="240" w:lineRule="exact"/>
              <w:jc w:val="center"/>
              <w:rPr>
                <w:rFonts w:ascii="Times New Roman" w:hAnsi="Times New Roman" w:cs="Times New Roman"/>
                <w:color w:val="000000"/>
                <w:kern w:val="0"/>
                <w:sz w:val="18"/>
                <w:szCs w:val="18"/>
              </w:rPr>
            </w:pPr>
          </w:p>
        </w:tc>
        <w:tc>
          <w:tcPr>
            <w:tcW w:w="510" w:type="pct"/>
            <w:vMerge w:val="continue"/>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p>
        </w:tc>
        <w:tc>
          <w:tcPr>
            <w:tcW w:w="695" w:type="pct"/>
            <w:vMerge w:val="continue"/>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p>
        </w:tc>
        <w:tc>
          <w:tcPr>
            <w:tcW w:w="423"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横向</w:t>
            </w:r>
          </w:p>
        </w:tc>
        <w:tc>
          <w:tcPr>
            <w:tcW w:w="1507"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9</w:t>
            </w:r>
            <w:r>
              <w:rPr>
                <w:rFonts w:ascii="Times New Roman" w:hAnsi="Times New Roman" w:cs="Times New Roman"/>
                <w:color w:val="000000"/>
                <w:kern w:val="0"/>
                <w:sz w:val="18"/>
                <w:szCs w:val="18"/>
              </w:rPr>
              <w:t>1</w:t>
            </w:r>
          </w:p>
        </w:tc>
        <w:tc>
          <w:tcPr>
            <w:tcW w:w="1527"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r>
              <w:rPr>
                <w:rFonts w:ascii="Times New Roman" w:hAnsi="Times New Roman" w:cs="Times New Roman"/>
                <w:color w:val="000000"/>
                <w:kern w:val="0"/>
                <w:sz w:val="18"/>
                <w:szCs w:val="18"/>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35" w:type="pct"/>
            <w:vMerge w:val="continue"/>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p>
        </w:tc>
        <w:tc>
          <w:tcPr>
            <w:tcW w:w="510" w:type="pct"/>
            <w:vMerge w:val="continue"/>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p>
        </w:tc>
        <w:tc>
          <w:tcPr>
            <w:tcW w:w="695" w:type="pct"/>
            <w:vMerge w:val="restar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断裂伸长率保持率（</w:t>
            </w:r>
            <w:r>
              <w:rPr>
                <w:rFonts w:ascii="Times New Roman" w:hAnsi="Times New Roman" w:cs="Times New Roman"/>
                <w:color w:val="000000"/>
                <w:kern w:val="0"/>
                <w:sz w:val="18"/>
                <w:szCs w:val="18"/>
              </w:rPr>
              <w:t>%</w:t>
            </w:r>
            <w:r>
              <w:rPr>
                <w:rFonts w:hint="default" w:ascii="Times New Roman" w:hAnsi="Times New Roman" w:cs="Times New Roman"/>
                <w:color w:val="000000"/>
                <w:kern w:val="0"/>
                <w:sz w:val="18"/>
                <w:szCs w:val="18"/>
              </w:rPr>
              <w:t>）</w:t>
            </w:r>
          </w:p>
        </w:tc>
        <w:tc>
          <w:tcPr>
            <w:tcW w:w="423"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纵向</w:t>
            </w:r>
          </w:p>
        </w:tc>
        <w:tc>
          <w:tcPr>
            <w:tcW w:w="1507"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9</w:t>
            </w:r>
            <w:r>
              <w:rPr>
                <w:rFonts w:ascii="Times New Roman" w:hAnsi="Times New Roman" w:cs="Times New Roman"/>
                <w:color w:val="000000"/>
                <w:kern w:val="0"/>
                <w:sz w:val="18"/>
                <w:szCs w:val="18"/>
              </w:rPr>
              <w:t>9</w:t>
            </w:r>
          </w:p>
        </w:tc>
        <w:tc>
          <w:tcPr>
            <w:tcW w:w="1527"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r>
              <w:rPr>
                <w:rFonts w:ascii="Times New Roman" w:hAnsi="Times New Roman" w:cs="Times New Roman"/>
                <w:color w:val="000000"/>
                <w:kern w:val="0"/>
                <w:sz w:val="18"/>
                <w:szCs w:val="18"/>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35" w:type="pct"/>
            <w:vMerge w:val="continue"/>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p>
        </w:tc>
        <w:tc>
          <w:tcPr>
            <w:tcW w:w="510" w:type="pct"/>
            <w:vMerge w:val="continue"/>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p>
        </w:tc>
        <w:tc>
          <w:tcPr>
            <w:tcW w:w="695" w:type="pct"/>
            <w:vMerge w:val="continue"/>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p>
        </w:tc>
        <w:tc>
          <w:tcPr>
            <w:tcW w:w="423"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横向</w:t>
            </w:r>
          </w:p>
        </w:tc>
        <w:tc>
          <w:tcPr>
            <w:tcW w:w="1507"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9</w:t>
            </w:r>
            <w:r>
              <w:rPr>
                <w:rFonts w:ascii="Times New Roman" w:hAnsi="Times New Roman" w:cs="Times New Roman"/>
                <w:color w:val="000000"/>
                <w:kern w:val="0"/>
                <w:sz w:val="18"/>
                <w:szCs w:val="18"/>
              </w:rPr>
              <w:t>5</w:t>
            </w:r>
          </w:p>
        </w:tc>
        <w:tc>
          <w:tcPr>
            <w:tcW w:w="1527"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r>
              <w:rPr>
                <w:rFonts w:ascii="Times New Roman" w:hAnsi="Times New Roman" w:cs="Times New Roman"/>
                <w:color w:val="000000"/>
                <w:kern w:val="0"/>
                <w:sz w:val="18"/>
                <w:szCs w:val="18"/>
              </w:rPr>
              <w:t>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5" w:hRule="atLeast"/>
          <w:jc w:val="center"/>
        </w:trPr>
        <w:tc>
          <w:tcPr>
            <w:tcW w:w="335" w:type="pct"/>
            <w:vMerge w:val="continue"/>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p>
        </w:tc>
        <w:tc>
          <w:tcPr>
            <w:tcW w:w="510" w:type="pct"/>
            <w:vMerge w:val="continue"/>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p>
        </w:tc>
        <w:tc>
          <w:tcPr>
            <w:tcW w:w="695"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低温弯折</w:t>
            </w:r>
          </w:p>
        </w:tc>
        <w:tc>
          <w:tcPr>
            <w:tcW w:w="423" w:type="pct"/>
            <w:tcBorders>
              <w:tl2br w:val="nil"/>
              <w:tr2bl w:val="nil"/>
            </w:tcBorders>
            <w:shd w:val="clear" w:color="auto" w:fill="auto"/>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w:t>
            </w:r>
          </w:p>
        </w:tc>
        <w:tc>
          <w:tcPr>
            <w:tcW w:w="1507"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w:t>
            </w:r>
            <w:r>
              <w:rPr>
                <w:rFonts w:ascii="Times New Roman" w:hAnsi="Times New Roman" w:cs="Times New Roman"/>
                <w:color w:val="000000"/>
                <w:kern w:val="0"/>
                <w:sz w:val="18"/>
                <w:szCs w:val="18"/>
              </w:rPr>
              <w:t>40</w:t>
            </w:r>
            <w:r>
              <w:rPr>
                <w:rFonts w:hint="default" w:ascii="Times New Roman" w:hAnsi="Times New Roman" w:cs="Times New Roman"/>
                <w:color w:val="000000"/>
                <w:kern w:val="0"/>
                <w:sz w:val="18"/>
                <w:szCs w:val="18"/>
              </w:rPr>
              <w:t>无裂纹</w:t>
            </w:r>
          </w:p>
        </w:tc>
        <w:tc>
          <w:tcPr>
            <w:tcW w:w="1527" w:type="pct"/>
            <w:tcBorders>
              <w:tl2br w:val="nil"/>
              <w:tr2bl w:val="nil"/>
            </w:tcBorders>
            <w:shd w:val="clear" w:color="auto" w:fill="auto"/>
            <w:noWrap/>
            <w:vAlign w:val="center"/>
          </w:tcPr>
          <w:p>
            <w:pPr>
              <w:widowControl/>
              <w:topLinePunct/>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w:t>
            </w:r>
            <w:r>
              <w:rPr>
                <w:rFonts w:ascii="Times New Roman" w:hAnsi="Times New Roman" w:cs="Times New Roman"/>
                <w:color w:val="000000"/>
                <w:kern w:val="0"/>
                <w:sz w:val="18"/>
                <w:szCs w:val="18"/>
              </w:rPr>
              <w:t xml:space="preserve">20 </w:t>
            </w:r>
            <w:r>
              <w:rPr>
                <w:rFonts w:hint="default" w:ascii="Times New Roman" w:hAnsi="Times New Roman" w:cs="Times New Roman"/>
                <w:color w:val="000000"/>
                <w:kern w:val="0"/>
                <w:sz w:val="18"/>
                <w:szCs w:val="18"/>
              </w:rPr>
              <w:t>无裂纹</w:t>
            </w:r>
          </w:p>
        </w:tc>
      </w:tr>
    </w:tbl>
    <w:p>
      <w:pPr>
        <w:spacing w:line="440" w:lineRule="exact"/>
        <w:ind w:firstLine="431" w:firstLineChars="196"/>
        <w:jc w:val="left"/>
        <w:rPr>
          <w:rFonts w:hint="eastAsia" w:ascii="Times New Roman" w:hAnsi="Times New Roman" w:eastAsia="宋体" w:cs="Times New Roman"/>
          <w:b w:val="0"/>
          <w:bCs w:val="0"/>
          <w:sz w:val="22"/>
          <w:szCs w:val="22"/>
        </w:rPr>
      </w:pPr>
      <w:r>
        <w:rPr>
          <w:rFonts w:hint="eastAsia"/>
          <w:sz w:val="22"/>
          <w:szCs w:val="22"/>
          <w:lang w:eastAsia="zh-CN"/>
        </w:rPr>
        <w:t>注：</w:t>
      </w:r>
      <w:r>
        <w:rPr>
          <w:rFonts w:hint="eastAsia"/>
          <w:sz w:val="22"/>
          <w:szCs w:val="22"/>
        </w:rPr>
        <w:t>试验1万h，TPO和PVC各项性能没有明显衰减。</w:t>
      </w:r>
      <w:r>
        <w:rPr>
          <w:rFonts w:hint="eastAsia" w:ascii="Times New Roman" w:hAnsi="Times New Roman" w:eastAsia="宋体" w:cs="Times New Roman"/>
          <w:b w:val="0"/>
          <w:bCs w:val="0"/>
          <w:sz w:val="22"/>
          <w:szCs w:val="22"/>
        </w:rPr>
        <w:t>热老化试验</w:t>
      </w:r>
      <w:r>
        <w:rPr>
          <w:rFonts w:hint="eastAsia" w:ascii="Times New Roman" w:hAnsi="Times New Roman" w:eastAsia="宋体" w:cs="Times New Roman"/>
          <w:b w:val="0"/>
          <w:bCs w:val="0"/>
          <w:sz w:val="22"/>
          <w:szCs w:val="22"/>
          <w:lang w:eastAsia="zh-CN"/>
        </w:rPr>
        <w:t>时长按照</w:t>
      </w:r>
      <w:r>
        <w:rPr>
          <w:rFonts w:hint="eastAsia" w:ascii="Times New Roman" w:hAnsi="Times New Roman" w:eastAsia="宋体" w:cs="Times New Roman"/>
          <w:b w:val="0"/>
          <w:bCs w:val="0"/>
          <w:sz w:val="22"/>
          <w:szCs w:val="22"/>
        </w:rPr>
        <w:t>28d-224d</w:t>
      </w:r>
      <w:r>
        <w:rPr>
          <w:rFonts w:hint="eastAsia" w:ascii="Times New Roman" w:hAnsi="Times New Roman" w:eastAsia="宋体" w:cs="Times New Roman"/>
          <w:b w:val="0"/>
          <w:bCs w:val="0"/>
          <w:sz w:val="22"/>
          <w:szCs w:val="22"/>
          <w:lang w:eastAsia="zh-CN"/>
        </w:rPr>
        <w:t>进行。</w:t>
      </w:r>
    </w:p>
    <w:p>
      <w:pPr>
        <w:pStyle w:val="63"/>
        <w:numPr>
          <w:ilvl w:val="0"/>
          <w:numId w:val="0"/>
        </w:numPr>
        <w:topLinePunct/>
        <w:spacing w:beforeLines="0" w:afterLines="0" w:line="360" w:lineRule="auto"/>
        <w:rPr>
          <w:rFonts w:hint="eastAsia" w:ascii="Times New Roman" w:eastAsia="宋体"/>
          <w:b/>
          <w:bCs/>
          <w:kern w:val="2"/>
          <w:szCs w:val="24"/>
          <w:lang w:eastAsia="zh-CN"/>
        </w:rPr>
      </w:pPr>
      <w:r>
        <w:rPr>
          <w:rFonts w:hint="eastAsia" w:ascii="Times New Roman" w:eastAsia="宋体"/>
          <w:b/>
          <w:bCs/>
          <w:kern w:val="2"/>
          <w:szCs w:val="24"/>
        </w:rPr>
        <w:t>高分子防水卷材试验结果 28-224d热老化</w:t>
      </w:r>
      <w:r>
        <w:rPr>
          <w:rFonts w:hint="eastAsia" w:ascii="Times New Roman" w:eastAsia="宋体"/>
          <w:b/>
          <w:bCs/>
          <w:kern w:val="2"/>
          <w:szCs w:val="24"/>
          <w:lang w:eastAsia="zh-CN"/>
        </w:rPr>
        <w:t>结果</w:t>
      </w:r>
    </w:p>
    <w:tbl>
      <w:tblPr>
        <w:tblStyle w:val="24"/>
        <w:tblW w:w="503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50"/>
        <w:gridCol w:w="1050"/>
        <w:gridCol w:w="1678"/>
        <w:gridCol w:w="1254"/>
        <w:gridCol w:w="1688"/>
        <w:gridCol w:w="21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6" w:hRule="atLeast"/>
          <w:jc w:val="center"/>
        </w:trPr>
        <w:tc>
          <w:tcPr>
            <w:tcW w:w="2758" w:type="pct"/>
            <w:gridSpan w:val="4"/>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b/>
                <w:bCs/>
                <w:color w:val="000000"/>
                <w:kern w:val="0"/>
                <w:sz w:val="20"/>
                <w:szCs w:val="20"/>
              </w:rPr>
            </w:pPr>
            <w:r>
              <w:rPr>
                <w:rFonts w:hint="default" w:ascii="Times New Roman" w:hAnsi="Times New Roman" w:cs="Times New Roman"/>
                <w:b/>
                <w:bCs/>
                <w:color w:val="000000"/>
                <w:kern w:val="0"/>
                <w:sz w:val="20"/>
                <w:szCs w:val="20"/>
              </w:rPr>
              <w:t>产品种类</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b/>
                <w:bCs/>
                <w:color w:val="000000"/>
                <w:kern w:val="0"/>
                <w:sz w:val="20"/>
                <w:szCs w:val="20"/>
              </w:rPr>
            </w:pPr>
            <w:r>
              <w:rPr>
                <w:rFonts w:hint="default" w:ascii="Times New Roman" w:hAnsi="Times New Roman" w:cs="Times New Roman"/>
                <w:b/>
                <w:bCs/>
                <w:color w:val="000000"/>
                <w:kern w:val="0"/>
                <w:sz w:val="20"/>
                <w:szCs w:val="20"/>
              </w:rPr>
              <w:t>PVC</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b/>
                <w:bCs/>
                <w:color w:val="000000"/>
                <w:kern w:val="0"/>
                <w:sz w:val="20"/>
                <w:szCs w:val="20"/>
              </w:rPr>
            </w:pPr>
            <w:r>
              <w:rPr>
                <w:rFonts w:hint="default" w:ascii="Times New Roman" w:hAnsi="Times New Roman" w:cs="Times New Roman"/>
                <w:b/>
                <w:bCs/>
                <w:color w:val="000000"/>
                <w:kern w:val="0"/>
                <w:sz w:val="20"/>
                <w:szCs w:val="20"/>
              </w:rPr>
              <w:t>PVC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0" w:hRule="atLeast"/>
          <w:jc w:val="center"/>
        </w:trPr>
        <w:tc>
          <w:tcPr>
            <w:tcW w:w="2758" w:type="pct"/>
            <w:gridSpan w:val="4"/>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b/>
                <w:bCs/>
                <w:color w:val="000000"/>
                <w:kern w:val="0"/>
                <w:sz w:val="20"/>
                <w:szCs w:val="20"/>
              </w:rPr>
            </w:pPr>
            <w:r>
              <w:rPr>
                <w:rFonts w:hint="default" w:ascii="Times New Roman" w:hAnsi="Times New Roman" w:cs="Times New Roman"/>
                <w:b/>
                <w:bCs/>
                <w:color w:val="000000"/>
                <w:kern w:val="0"/>
                <w:sz w:val="20"/>
                <w:szCs w:val="20"/>
              </w:rPr>
              <w:t>规格型号</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b/>
                <w:bCs/>
                <w:color w:val="000000"/>
                <w:kern w:val="0"/>
                <w:sz w:val="20"/>
                <w:szCs w:val="20"/>
              </w:rPr>
            </w:pPr>
            <w:r>
              <w:rPr>
                <w:rFonts w:hint="default" w:ascii="Times New Roman" w:hAnsi="Times New Roman" w:cs="Times New Roman"/>
                <w:b/>
                <w:bCs/>
                <w:color w:val="000000"/>
                <w:kern w:val="0"/>
                <w:sz w:val="20"/>
                <w:szCs w:val="20"/>
              </w:rPr>
              <w:t>H</w:t>
            </w:r>
            <w:r>
              <w:rPr>
                <w:rFonts w:ascii="Times New Roman" w:hAnsi="Times New Roman" w:cs="Times New Roman"/>
                <w:b/>
                <w:bCs/>
                <w:color w:val="000000"/>
                <w:kern w:val="0"/>
                <w:sz w:val="20"/>
                <w:szCs w:val="20"/>
              </w:rPr>
              <w:t xml:space="preserve"> 1.2</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b/>
                <w:bCs/>
                <w:color w:val="000000"/>
                <w:kern w:val="0"/>
                <w:sz w:val="20"/>
                <w:szCs w:val="20"/>
              </w:rPr>
            </w:pPr>
            <w:r>
              <w:rPr>
                <w:rFonts w:hint="default" w:ascii="Times New Roman" w:hAnsi="Times New Roman" w:cs="Times New Roman"/>
                <w:b/>
                <w:bCs/>
                <w:color w:val="000000"/>
                <w:kern w:val="0"/>
                <w:sz w:val="20"/>
                <w:szCs w:val="20"/>
              </w:rPr>
              <w:t>H</w:t>
            </w:r>
            <w:r>
              <w:rPr>
                <w:rFonts w:ascii="Times New Roman" w:hAnsi="Times New Roman" w:cs="Times New Roman"/>
                <w:b/>
                <w:bCs/>
                <w:color w:val="000000"/>
                <w:kern w:val="0"/>
                <w:sz w:val="20"/>
                <w:szCs w:val="20"/>
              </w:rPr>
              <w:t xml:space="preserve"> 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1" w:hRule="atLeast"/>
          <w:jc w:val="center"/>
        </w:trPr>
        <w:tc>
          <w:tcPr>
            <w:tcW w:w="437" w:type="pct"/>
            <w:vMerge w:val="restar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原始数值</w:t>
            </w:r>
          </w:p>
        </w:tc>
        <w:tc>
          <w:tcPr>
            <w:tcW w:w="612" w:type="pct"/>
            <w:vMerge w:val="restar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拉伸强度（</w:t>
            </w:r>
            <w:r>
              <w:rPr>
                <w:rFonts w:ascii="Times New Roman" w:hAnsi="Times New Roman" w:cs="Times New Roman"/>
                <w:color w:val="000000"/>
                <w:kern w:val="0"/>
                <w:sz w:val="18"/>
                <w:szCs w:val="18"/>
              </w:rPr>
              <w:t>MPa</w:t>
            </w:r>
            <w:r>
              <w:rPr>
                <w:rFonts w:hint="default" w:ascii="Times New Roman" w:hAnsi="Times New Roman" w:cs="Times New Roman"/>
                <w:color w:val="000000"/>
                <w:kern w:val="0"/>
                <w:sz w:val="18"/>
                <w:szCs w:val="18"/>
              </w:rPr>
              <w:t>）</w:t>
            </w:r>
          </w:p>
        </w:tc>
        <w:tc>
          <w:tcPr>
            <w:tcW w:w="1708" w:type="pct"/>
            <w:gridSpan w:val="2"/>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纵向</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14.3</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1" w:hRule="atLeast"/>
          <w:jc w:val="center"/>
        </w:trPr>
        <w:tc>
          <w:tcPr>
            <w:tcW w:w="437"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612"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1708" w:type="pct"/>
            <w:gridSpan w:val="2"/>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横向</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16.4</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5" w:hRule="atLeast"/>
          <w:jc w:val="center"/>
        </w:trPr>
        <w:tc>
          <w:tcPr>
            <w:tcW w:w="437"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612" w:type="pct"/>
            <w:vMerge w:val="restar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断裂伸长率（</w:t>
            </w:r>
            <w:r>
              <w:rPr>
                <w:rFonts w:ascii="Times New Roman" w:hAnsi="Times New Roman" w:cs="Times New Roman"/>
                <w:color w:val="000000"/>
                <w:kern w:val="0"/>
                <w:sz w:val="18"/>
                <w:szCs w:val="18"/>
              </w:rPr>
              <w:t>%</w:t>
            </w:r>
            <w:r>
              <w:rPr>
                <w:rFonts w:hint="default" w:ascii="Times New Roman" w:hAnsi="Times New Roman" w:cs="Times New Roman"/>
                <w:color w:val="000000"/>
                <w:kern w:val="0"/>
                <w:sz w:val="18"/>
                <w:szCs w:val="18"/>
              </w:rPr>
              <w:t>）</w:t>
            </w:r>
          </w:p>
        </w:tc>
        <w:tc>
          <w:tcPr>
            <w:tcW w:w="1708" w:type="pct"/>
            <w:gridSpan w:val="2"/>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纵向</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305</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0" w:hRule="atLeast"/>
          <w:jc w:val="center"/>
        </w:trPr>
        <w:tc>
          <w:tcPr>
            <w:tcW w:w="437"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612"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1708" w:type="pct"/>
            <w:gridSpan w:val="2"/>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横向</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292</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0" w:hRule="atLeast"/>
          <w:jc w:val="center"/>
        </w:trPr>
        <w:tc>
          <w:tcPr>
            <w:tcW w:w="437"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2321" w:type="pct"/>
            <w:gridSpan w:val="3"/>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低温弯折</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w:t>
            </w:r>
            <w:r>
              <w:rPr>
                <w:rFonts w:hint="default" w:ascii="Times New Roman" w:hAnsi="Times New Roman" w:cs="Times New Roman"/>
                <w:color w:val="000000"/>
                <w:kern w:val="0"/>
                <w:sz w:val="18"/>
                <w:szCs w:val="18"/>
              </w:rPr>
              <w:t>℃无裂纹</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0" w:hRule="atLeast"/>
          <w:jc w:val="center"/>
        </w:trPr>
        <w:tc>
          <w:tcPr>
            <w:tcW w:w="2758" w:type="pct"/>
            <w:gridSpan w:val="4"/>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检测环境及方法</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80</w:t>
            </w:r>
            <w:r>
              <w:rPr>
                <w:rFonts w:hint="default" w:ascii="Times New Roman" w:hAnsi="Times New Roman" w:cs="Times New Roman"/>
                <w:color w:val="000000"/>
                <w:kern w:val="0"/>
                <w:sz w:val="18"/>
                <w:szCs w:val="18"/>
              </w:rPr>
              <w:t>℃</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80</w:t>
            </w:r>
            <w:r>
              <w:rPr>
                <w:rFonts w:hint="default" w:ascii="Times New Roman" w:hAnsi="Times New Roman" w:cs="Times New Roman"/>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0" w:hRule="atLeast"/>
          <w:jc w:val="center"/>
        </w:trPr>
        <w:tc>
          <w:tcPr>
            <w:tcW w:w="437" w:type="pct"/>
            <w:vMerge w:val="restar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热处理</w:t>
            </w:r>
          </w:p>
        </w:tc>
        <w:tc>
          <w:tcPr>
            <w:tcW w:w="612" w:type="pct"/>
            <w:vMerge w:val="restar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28d</w:t>
            </w:r>
          </w:p>
        </w:tc>
        <w:tc>
          <w:tcPr>
            <w:tcW w:w="1708" w:type="pct"/>
            <w:gridSpan w:val="2"/>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质量变化（</w:t>
            </w:r>
            <w:r>
              <w:rPr>
                <w:rFonts w:ascii="Times New Roman" w:hAnsi="Times New Roman" w:cs="Times New Roman"/>
                <w:color w:val="000000"/>
                <w:kern w:val="0"/>
                <w:sz w:val="18"/>
                <w:szCs w:val="18"/>
              </w:rPr>
              <w:t>%</w:t>
            </w:r>
            <w:r>
              <w:rPr>
                <w:rFonts w:hint="default" w:ascii="Times New Roman" w:hAnsi="Times New Roman" w:cs="Times New Roman"/>
                <w:color w:val="000000"/>
                <w:kern w:val="0"/>
                <w:sz w:val="18"/>
                <w:szCs w:val="18"/>
              </w:rPr>
              <w:t>）</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-1.15</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410" w:hRule="atLeast"/>
          <w:jc w:val="center"/>
        </w:trPr>
        <w:tc>
          <w:tcPr>
            <w:tcW w:w="437"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612"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978" w:type="pct"/>
            <w:vMerge w:val="restar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拉伸强度保持率（</w:t>
            </w:r>
            <w:r>
              <w:rPr>
                <w:rFonts w:ascii="Times New Roman" w:hAnsi="Times New Roman" w:cs="Times New Roman"/>
                <w:color w:val="000000"/>
                <w:kern w:val="0"/>
                <w:sz w:val="18"/>
                <w:szCs w:val="18"/>
              </w:rPr>
              <w:t>%</w:t>
            </w:r>
            <w:r>
              <w:rPr>
                <w:rFonts w:hint="default" w:ascii="Times New Roman" w:hAnsi="Times New Roman" w:cs="Times New Roman"/>
                <w:color w:val="000000"/>
                <w:kern w:val="0"/>
                <w:sz w:val="18"/>
                <w:szCs w:val="18"/>
              </w:rPr>
              <w:t>）</w:t>
            </w:r>
          </w:p>
        </w:tc>
        <w:tc>
          <w:tcPr>
            <w:tcW w:w="730"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纵向</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437"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612"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978"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730"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横向</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0" w:hRule="atLeast"/>
          <w:jc w:val="center"/>
        </w:trPr>
        <w:tc>
          <w:tcPr>
            <w:tcW w:w="437"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612"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978" w:type="pct"/>
            <w:vMerge w:val="restar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断裂伸长率保持率（</w:t>
            </w:r>
            <w:r>
              <w:rPr>
                <w:rFonts w:ascii="Times New Roman" w:hAnsi="Times New Roman" w:cs="Times New Roman"/>
                <w:color w:val="000000"/>
                <w:kern w:val="0"/>
                <w:sz w:val="18"/>
                <w:szCs w:val="18"/>
              </w:rPr>
              <w:t>%</w:t>
            </w:r>
            <w:r>
              <w:rPr>
                <w:rFonts w:hint="default" w:ascii="Times New Roman" w:hAnsi="Times New Roman" w:cs="Times New Roman"/>
                <w:color w:val="000000"/>
                <w:kern w:val="0"/>
                <w:sz w:val="18"/>
                <w:szCs w:val="18"/>
              </w:rPr>
              <w:t>）</w:t>
            </w:r>
          </w:p>
        </w:tc>
        <w:tc>
          <w:tcPr>
            <w:tcW w:w="730"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纵向</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437"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612"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978"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730"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横向</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0" w:hRule="atLeast"/>
          <w:jc w:val="center"/>
        </w:trPr>
        <w:tc>
          <w:tcPr>
            <w:tcW w:w="437"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612"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1708" w:type="pct"/>
            <w:gridSpan w:val="2"/>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低温弯折</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0" w:hRule="atLeast"/>
          <w:jc w:val="center"/>
        </w:trPr>
        <w:tc>
          <w:tcPr>
            <w:tcW w:w="437"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612" w:type="pct"/>
            <w:vMerge w:val="restar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56d</w:t>
            </w:r>
          </w:p>
        </w:tc>
        <w:tc>
          <w:tcPr>
            <w:tcW w:w="978" w:type="pct"/>
            <w:vMerge w:val="restar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拉伸强度保持率（</w:t>
            </w:r>
            <w:r>
              <w:rPr>
                <w:rFonts w:ascii="Times New Roman" w:hAnsi="Times New Roman" w:cs="Times New Roman"/>
                <w:color w:val="000000"/>
                <w:kern w:val="0"/>
                <w:sz w:val="18"/>
                <w:szCs w:val="18"/>
              </w:rPr>
              <w:t>%</w:t>
            </w:r>
            <w:r>
              <w:rPr>
                <w:rFonts w:hint="default" w:ascii="Times New Roman" w:hAnsi="Times New Roman" w:cs="Times New Roman"/>
                <w:color w:val="000000"/>
                <w:kern w:val="0"/>
                <w:sz w:val="18"/>
                <w:szCs w:val="18"/>
              </w:rPr>
              <w:t>）</w:t>
            </w:r>
          </w:p>
        </w:tc>
        <w:tc>
          <w:tcPr>
            <w:tcW w:w="730"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纵向</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437"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612"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978"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730"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横向</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437"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612"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978" w:type="pct"/>
            <w:vMerge w:val="restar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断裂伸长率保持率（</w:t>
            </w:r>
            <w:r>
              <w:rPr>
                <w:rFonts w:ascii="Times New Roman" w:hAnsi="Times New Roman" w:cs="Times New Roman"/>
                <w:color w:val="000000"/>
                <w:kern w:val="0"/>
                <w:sz w:val="18"/>
                <w:szCs w:val="18"/>
              </w:rPr>
              <w:t>%</w:t>
            </w:r>
            <w:r>
              <w:rPr>
                <w:rFonts w:hint="default" w:ascii="Times New Roman" w:hAnsi="Times New Roman" w:cs="Times New Roman"/>
                <w:color w:val="000000"/>
                <w:kern w:val="0"/>
                <w:sz w:val="18"/>
                <w:szCs w:val="18"/>
              </w:rPr>
              <w:t>）</w:t>
            </w:r>
          </w:p>
        </w:tc>
        <w:tc>
          <w:tcPr>
            <w:tcW w:w="730"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纵向</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37"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612"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978"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730"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横向</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37"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612"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1708" w:type="pct"/>
            <w:gridSpan w:val="2"/>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低温弯折</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37"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612"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1708" w:type="pct"/>
            <w:gridSpan w:val="2"/>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质量变化（</w:t>
            </w:r>
            <w:r>
              <w:rPr>
                <w:rFonts w:ascii="Times New Roman" w:hAnsi="Times New Roman" w:cs="Times New Roman"/>
                <w:color w:val="000000"/>
                <w:kern w:val="0"/>
                <w:sz w:val="18"/>
                <w:szCs w:val="18"/>
              </w:rPr>
              <w:t>%</w:t>
            </w:r>
            <w:r>
              <w:rPr>
                <w:rFonts w:hint="default" w:ascii="Times New Roman" w:hAnsi="Times New Roman" w:cs="Times New Roman"/>
                <w:color w:val="000000"/>
                <w:kern w:val="0"/>
                <w:sz w:val="18"/>
                <w:szCs w:val="18"/>
              </w:rPr>
              <w:t>）</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-1.38</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0" w:hRule="atLeast"/>
          <w:jc w:val="center"/>
        </w:trPr>
        <w:tc>
          <w:tcPr>
            <w:tcW w:w="437"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612" w:type="pct"/>
            <w:vMerge w:val="restar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224d</w:t>
            </w:r>
          </w:p>
        </w:tc>
        <w:tc>
          <w:tcPr>
            <w:tcW w:w="978" w:type="pct"/>
            <w:vMerge w:val="restar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拉伸强度保持率（</w:t>
            </w:r>
            <w:r>
              <w:rPr>
                <w:rFonts w:ascii="Times New Roman" w:hAnsi="Times New Roman" w:cs="Times New Roman"/>
                <w:color w:val="000000"/>
                <w:kern w:val="0"/>
                <w:sz w:val="18"/>
                <w:szCs w:val="18"/>
              </w:rPr>
              <w:t>%</w:t>
            </w:r>
            <w:r>
              <w:rPr>
                <w:rFonts w:hint="default" w:ascii="Times New Roman" w:hAnsi="Times New Roman" w:cs="Times New Roman"/>
                <w:color w:val="000000"/>
                <w:kern w:val="0"/>
                <w:sz w:val="18"/>
                <w:szCs w:val="18"/>
              </w:rPr>
              <w:t>）</w:t>
            </w:r>
          </w:p>
        </w:tc>
        <w:tc>
          <w:tcPr>
            <w:tcW w:w="730"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纵向</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98</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33" w:hRule="atLeast"/>
          <w:jc w:val="center"/>
        </w:trPr>
        <w:tc>
          <w:tcPr>
            <w:tcW w:w="437"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612"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978"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730"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横向</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98</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37"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612"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978" w:type="pct"/>
            <w:vMerge w:val="restar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断裂伸长率保持率（</w:t>
            </w:r>
            <w:r>
              <w:rPr>
                <w:rFonts w:ascii="Times New Roman" w:hAnsi="Times New Roman" w:cs="Times New Roman"/>
                <w:color w:val="000000"/>
                <w:kern w:val="0"/>
                <w:sz w:val="18"/>
                <w:szCs w:val="18"/>
              </w:rPr>
              <w:t>%</w:t>
            </w:r>
            <w:r>
              <w:rPr>
                <w:rFonts w:hint="default" w:ascii="Times New Roman" w:hAnsi="Times New Roman" w:cs="Times New Roman"/>
                <w:color w:val="000000"/>
                <w:kern w:val="0"/>
                <w:sz w:val="18"/>
                <w:szCs w:val="18"/>
              </w:rPr>
              <w:t>）</w:t>
            </w:r>
          </w:p>
        </w:tc>
        <w:tc>
          <w:tcPr>
            <w:tcW w:w="730"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纵向</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105</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37"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612"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978"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730"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横向</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106</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437"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612" w:type="pct"/>
            <w:vMerge w:val="continue"/>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p>
        </w:tc>
        <w:tc>
          <w:tcPr>
            <w:tcW w:w="1708" w:type="pct"/>
            <w:gridSpan w:val="2"/>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低温弯折</w:t>
            </w:r>
          </w:p>
        </w:tc>
        <w:tc>
          <w:tcPr>
            <w:tcW w:w="984"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w:t>
            </w:r>
            <w:r>
              <w:rPr>
                <w:rFonts w:hint="default" w:ascii="Times New Roman" w:hAnsi="Times New Roman" w:cs="Times New Roman"/>
                <w:color w:val="000000"/>
                <w:kern w:val="0"/>
                <w:sz w:val="18"/>
                <w:szCs w:val="18"/>
              </w:rPr>
              <w:t>℃无裂纹</w:t>
            </w:r>
          </w:p>
        </w:tc>
        <w:tc>
          <w:tcPr>
            <w:tcW w:w="1256" w:type="pct"/>
            <w:tcBorders>
              <w:tl2br w:val="nil"/>
              <w:tr2bl w:val="nil"/>
            </w:tcBorders>
            <w:shd w:val="clear" w:color="auto" w:fill="auto"/>
            <w:vAlign w:val="center"/>
          </w:tcPr>
          <w:p>
            <w:pPr>
              <w:topLinePunct/>
              <w:adjustRightInd w:val="0"/>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r>
    </w:tbl>
    <w:p>
      <w:pPr>
        <w:spacing w:line="440" w:lineRule="exact"/>
        <w:ind w:firstLine="431" w:firstLineChars="196"/>
        <w:rPr>
          <w:rFonts w:hint="eastAsia"/>
          <w:sz w:val="22"/>
          <w:szCs w:val="22"/>
        </w:rPr>
      </w:pPr>
      <w:r>
        <w:rPr>
          <w:rFonts w:hint="eastAsia"/>
          <w:sz w:val="22"/>
          <w:szCs w:val="22"/>
          <w:lang w:eastAsia="zh-CN"/>
        </w:rPr>
        <w:t>注：</w:t>
      </w:r>
      <w:r>
        <w:rPr>
          <w:rFonts w:hint="eastAsia"/>
          <w:sz w:val="22"/>
          <w:szCs w:val="22"/>
        </w:rPr>
        <w:t>PVC产品在试验56d、224d后，各项性能没有发生明显下降。</w:t>
      </w:r>
    </w:p>
    <w:p>
      <w:pPr>
        <w:spacing w:line="440" w:lineRule="exact"/>
        <w:ind w:firstLine="431" w:firstLineChars="196"/>
        <w:rPr>
          <w:rFonts w:hint="eastAsia"/>
          <w:sz w:val="22"/>
          <w:szCs w:val="22"/>
          <w:lang w:val="en-US" w:eastAsia="zh-CN"/>
        </w:rPr>
      </w:pPr>
      <w:r>
        <w:rPr>
          <w:rFonts w:hint="eastAsia" w:ascii="Times New Roman"/>
          <w:sz w:val="22"/>
          <w:szCs w:val="22"/>
        </w:rPr>
        <w:t>验证试验所</w:t>
      </w:r>
      <w:r>
        <w:rPr>
          <w:rFonts w:hint="eastAsia"/>
          <w:sz w:val="22"/>
          <w:szCs w:val="22"/>
          <w:lang w:eastAsia="zh-CN"/>
        </w:rPr>
        <w:t>使用</w:t>
      </w:r>
      <w:r>
        <w:rPr>
          <w:rFonts w:hint="eastAsia" w:ascii="Times New Roman"/>
          <w:sz w:val="22"/>
          <w:szCs w:val="22"/>
        </w:rPr>
        <w:t>的试样大</w:t>
      </w:r>
      <w:r>
        <w:rPr>
          <w:rFonts w:hint="eastAsia"/>
          <w:sz w:val="22"/>
          <w:szCs w:val="22"/>
          <w:lang w:eastAsia="zh-CN"/>
        </w:rPr>
        <w:t>多</w:t>
      </w:r>
      <w:r>
        <w:rPr>
          <w:rFonts w:hint="eastAsia" w:ascii="Times New Roman"/>
          <w:sz w:val="22"/>
          <w:szCs w:val="22"/>
        </w:rPr>
        <w:t>来自国内外著名防水材料生产企业，</w:t>
      </w:r>
      <w:r>
        <w:rPr>
          <w:rFonts w:hint="eastAsia" w:ascii="Times New Roman"/>
          <w:sz w:val="22"/>
          <w:szCs w:val="22"/>
          <w:lang w:eastAsia="zh-CN"/>
        </w:rPr>
        <w:t>均</w:t>
      </w:r>
      <w:r>
        <w:rPr>
          <w:rFonts w:hint="eastAsia"/>
          <w:sz w:val="22"/>
          <w:szCs w:val="22"/>
          <w:lang w:eastAsia="zh-CN"/>
        </w:rPr>
        <w:t>在</w:t>
      </w:r>
      <w:r>
        <w:rPr>
          <w:rFonts w:hint="eastAsia" w:ascii="Times New Roman"/>
          <w:sz w:val="22"/>
          <w:szCs w:val="22"/>
          <w:lang w:eastAsia="zh-CN"/>
        </w:rPr>
        <w:t>目前成熟推广的单层卷材屋面的施工项目中</w:t>
      </w:r>
      <w:r>
        <w:rPr>
          <w:rFonts w:hint="eastAsia"/>
          <w:sz w:val="22"/>
          <w:szCs w:val="22"/>
          <w:lang w:eastAsia="zh-CN"/>
        </w:rPr>
        <w:t>大面积应用。生产企业</w:t>
      </w:r>
      <w:r>
        <w:rPr>
          <w:rFonts w:hint="eastAsia" w:ascii="Times New Roman"/>
          <w:sz w:val="22"/>
          <w:szCs w:val="22"/>
          <w:lang w:eastAsia="zh-CN"/>
        </w:rPr>
        <w:t>所提供的检测</w:t>
      </w:r>
      <w:r>
        <w:rPr>
          <w:rFonts w:hint="eastAsia" w:ascii="Times New Roman"/>
          <w:sz w:val="22"/>
          <w:szCs w:val="22"/>
        </w:rPr>
        <w:t>产品匀质性好，技术性能指标属于上乘。</w:t>
      </w:r>
      <w:r>
        <w:rPr>
          <w:rFonts w:hint="eastAsia"/>
          <w:sz w:val="22"/>
          <w:szCs w:val="22"/>
          <w:lang w:eastAsia="zh-CN"/>
        </w:rPr>
        <w:t>经热老化、人工气候加速老化等试验后，</w:t>
      </w:r>
      <w:r>
        <w:rPr>
          <w:rFonts w:hint="eastAsia"/>
          <w:sz w:val="22"/>
          <w:szCs w:val="22"/>
          <w:lang w:val="en-US" w:eastAsia="zh-CN"/>
        </w:rPr>
        <w:t>TPO、PVC等材料的拉伸性能、低温性能均无明显变化，证明该类型材料耐久性能较好，从而在单层卷材屋面防水工程中使用，可以满足防水系统的功能性、可靠性，保证防水设计工作年限。</w:t>
      </w:r>
    </w:p>
    <w:p>
      <w:pPr>
        <w:spacing w:line="360" w:lineRule="auto"/>
        <w:ind w:firstLine="431" w:firstLineChars="196"/>
        <w:rPr>
          <w:sz w:val="22"/>
          <w:szCs w:val="22"/>
        </w:rPr>
      </w:pPr>
      <w:r>
        <w:rPr>
          <w:rFonts w:hint="eastAsia"/>
          <w:sz w:val="22"/>
          <w:szCs w:val="22"/>
          <w:lang w:eastAsia="zh-CN"/>
        </w:rPr>
        <w:t>“</w:t>
      </w:r>
      <w:r>
        <w:rPr>
          <w:rFonts w:hint="eastAsia"/>
          <w:sz w:val="22"/>
          <w:szCs w:val="22"/>
          <w:lang w:val="en-US" w:eastAsia="zh-CN"/>
        </w:rPr>
        <w:t xml:space="preserve">3.1.2 </w:t>
      </w:r>
      <w:r>
        <w:rPr>
          <w:rFonts w:hint="default"/>
          <w:sz w:val="22"/>
          <w:szCs w:val="22"/>
        </w:rPr>
        <w:t>屋面构造层次应根据屋面形式、屋面结构层耐火极限和绝热层材料等情况选择。</w:t>
      </w:r>
      <w:r>
        <w:rPr>
          <w:rFonts w:hint="eastAsia"/>
          <w:sz w:val="22"/>
          <w:szCs w:val="22"/>
          <w:lang w:eastAsia="zh-CN"/>
        </w:rPr>
        <w:t>”</w:t>
      </w:r>
      <w:r>
        <w:rPr>
          <w:rFonts w:hint="eastAsia"/>
          <w:sz w:val="22"/>
          <w:szCs w:val="22"/>
        </w:rPr>
        <w:t>单层防水卷材的施工形式包括：机械固定、满粘、压铺等形式。此外根据《建筑设计防火规范》GB50016</w:t>
      </w:r>
      <w:r>
        <w:rPr>
          <w:rFonts w:hint="eastAsia"/>
          <w:sz w:val="22"/>
          <w:szCs w:val="22"/>
          <w:lang w:eastAsia="zh-CN"/>
        </w:rPr>
        <w:t>中</w:t>
      </w:r>
      <w:r>
        <w:rPr>
          <w:sz w:val="22"/>
          <w:szCs w:val="22"/>
        </w:rPr>
        <w:t>5.1.5条规定： 一、二级耐火等级建筑的屋面板应采用不燃材料。屋面防水层宜采用不燃、难燃材料，当采用可燃防水材料且铺设在可燃、难燃保温材料上时，防水材料或可燃、难燃保温材料应采用不燃材料作防护层。</w:t>
      </w:r>
      <w:r>
        <w:rPr>
          <w:rFonts w:hint="eastAsia"/>
          <w:sz w:val="22"/>
          <w:szCs w:val="22"/>
        </w:rPr>
        <w:t>为此针对典型的屋面形式，给出了常用的屋面构造。</w:t>
      </w:r>
    </w:p>
    <w:p>
      <w:pPr>
        <w:spacing w:line="360" w:lineRule="auto"/>
        <w:ind w:left="0" w:leftChars="0" w:firstLine="431" w:firstLineChars="196"/>
        <w:rPr>
          <w:rFonts w:hint="default"/>
          <w:sz w:val="22"/>
          <w:szCs w:val="22"/>
        </w:rPr>
      </w:pPr>
      <w:r>
        <w:rPr>
          <w:rFonts w:hint="eastAsia"/>
          <w:sz w:val="22"/>
          <w:szCs w:val="22"/>
          <w:lang w:eastAsia="zh-CN"/>
        </w:rPr>
        <w:t>“</w:t>
      </w:r>
      <w:r>
        <w:rPr>
          <w:rFonts w:hint="eastAsia"/>
          <w:sz w:val="22"/>
          <w:szCs w:val="22"/>
          <w:lang w:val="en-US" w:eastAsia="zh-CN"/>
        </w:rPr>
        <w:t xml:space="preserve">3.1.3 </w:t>
      </w:r>
      <w:r>
        <w:rPr>
          <w:rFonts w:hint="eastAsia"/>
          <w:kern w:val="2"/>
          <w:sz w:val="22"/>
          <w:szCs w:val="22"/>
        </w:rPr>
        <w:t>单层防水卷材屋面防水设计宜包括：防水构造设计、排水设计、抗风揭设计、节点和细部构造设计、材料施工方法、工程材料选择。</w:t>
      </w:r>
      <w:r>
        <w:rPr>
          <w:rFonts w:hint="eastAsia"/>
          <w:sz w:val="22"/>
          <w:szCs w:val="22"/>
          <w:lang w:eastAsia="zh-CN"/>
        </w:rPr>
        <w:t>”</w:t>
      </w:r>
      <w:r>
        <w:rPr>
          <w:rFonts w:hint="default"/>
          <w:sz w:val="22"/>
          <w:szCs w:val="22"/>
        </w:rPr>
        <w:t>单层防水卷材屋面工程设计不仅要考虑建筑造型的新颖、美观，而且要考虑建筑的使用功能、造价、环境、能耗、施工条件等各种因素，经技术经济分析后确定屋面形式、构造和材料。针对卷材屋面是连续整体，确定屋面坡度对于风荷载设计和排水设计等是十分必要的。目前，国内屋面工程设计深度严重不足，设计者可以不进行认真选材，任意套用通用图，施工方也可以任意采用建筑材料，使得监理方认可或不认可均无依据。因此，有必要强调设计时必须考虑使用功能认真选择材料。</w:t>
      </w:r>
    </w:p>
    <w:p>
      <w:pPr>
        <w:widowControl/>
        <w:spacing w:line="360" w:lineRule="auto"/>
        <w:ind w:firstLine="431" w:firstLineChars="196"/>
        <w:jc w:val="left"/>
        <w:rPr>
          <w:rFonts w:hint="default" w:eastAsia="宋体"/>
          <w:sz w:val="22"/>
          <w:szCs w:val="22"/>
          <w:lang w:val="en-US" w:eastAsia="zh-CN"/>
        </w:rPr>
      </w:pPr>
      <w:r>
        <w:rPr>
          <w:rFonts w:hint="default"/>
          <w:sz w:val="22"/>
          <w:szCs w:val="22"/>
          <w:lang w:eastAsia="zh-CN"/>
        </w:rPr>
        <w:t>“</w:t>
      </w:r>
      <w:r>
        <w:rPr>
          <w:rFonts w:hint="default"/>
          <w:sz w:val="22"/>
          <w:szCs w:val="22"/>
          <w:lang w:val="en-US" w:eastAsia="zh-CN"/>
        </w:rPr>
        <w:t xml:space="preserve">3.1.5 </w:t>
      </w:r>
      <w:r>
        <w:rPr>
          <w:rFonts w:hint="eastAsia"/>
          <w:sz w:val="22"/>
          <w:szCs w:val="22"/>
        </w:rPr>
        <w:t>屋面为结构找坡时，屋面坡度不宜小于3%</w:t>
      </w:r>
      <w:r>
        <w:rPr>
          <w:rFonts w:hint="default"/>
          <w:sz w:val="22"/>
          <w:szCs w:val="22"/>
          <w:lang w:eastAsia="zh-CN"/>
        </w:rPr>
        <w:t>；</w:t>
      </w:r>
      <w:r>
        <w:rPr>
          <w:rFonts w:hint="eastAsia"/>
          <w:sz w:val="22"/>
          <w:szCs w:val="22"/>
        </w:rPr>
        <w:t>采用材料找坡的屋面，坡度不宜小于2%</w:t>
      </w:r>
      <w:r>
        <w:rPr>
          <w:rFonts w:hint="default"/>
          <w:sz w:val="22"/>
          <w:szCs w:val="22"/>
          <w:lang w:eastAsia="zh-CN"/>
        </w:rPr>
        <w:t>；</w:t>
      </w:r>
      <w:r>
        <w:rPr>
          <w:rFonts w:hint="eastAsia"/>
          <w:sz w:val="22"/>
          <w:szCs w:val="22"/>
        </w:rPr>
        <w:t>采用压铺法施工的屋面，坡度不应大于10%</w:t>
      </w:r>
      <w:r>
        <w:rPr>
          <w:rFonts w:hint="default"/>
          <w:sz w:val="22"/>
          <w:szCs w:val="22"/>
          <w:lang w:eastAsia="zh-CN"/>
        </w:rPr>
        <w:t>”。现行行业标准《单层防水卷材屋面工程技术规程》</w:t>
      </w:r>
      <w:r>
        <w:rPr>
          <w:rFonts w:hint="default"/>
          <w:sz w:val="22"/>
          <w:szCs w:val="22"/>
          <w:lang w:val="en-US" w:eastAsia="zh-CN"/>
        </w:rPr>
        <w:t>JGJ/T 316中5.1.2规定，屋面工程的坡度宜大于1%，采用空铺压顶法施工的屋面坡度不应大于10%，与此保持一致；另外，《建筑与市政防水通用规范》（报批稿）4.4.2中规定，</w:t>
      </w:r>
      <w:r>
        <w:rPr>
          <w:rFonts w:hint="default" w:ascii="Times New Roman" w:hAnsi="Times New Roman" w:eastAsia="宋体" w:cs="Times New Roman"/>
          <w:kern w:val="2"/>
          <w:sz w:val="22"/>
          <w:szCs w:val="22"/>
          <w:lang w:val="en-US" w:eastAsia="zh-CN" w:bidi="ar"/>
        </w:rPr>
        <w:t>当屋面采用结构找坡时，其坡度不应小于 3%；当屋面采用建筑找坡时，其坡度不应小于 2%</w:t>
      </w:r>
      <w:r>
        <w:rPr>
          <w:rFonts w:hint="eastAsia" w:cs="Times New Roman"/>
          <w:kern w:val="2"/>
          <w:sz w:val="22"/>
          <w:szCs w:val="22"/>
          <w:lang w:val="en-US" w:eastAsia="zh-CN" w:bidi="ar"/>
        </w:rPr>
        <w:t>，也与此处一致。</w:t>
      </w:r>
    </w:p>
    <w:p>
      <w:pPr>
        <w:spacing w:line="360" w:lineRule="auto"/>
        <w:ind w:firstLine="431" w:firstLineChars="196"/>
        <w:rPr>
          <w:rFonts w:hint="eastAsia"/>
          <w:sz w:val="22"/>
          <w:szCs w:val="22"/>
          <w:lang w:eastAsia="zh-CN"/>
        </w:rPr>
      </w:pPr>
      <w:r>
        <w:rPr>
          <w:rFonts w:hint="eastAsia"/>
          <w:sz w:val="22"/>
          <w:szCs w:val="22"/>
          <w:lang w:eastAsia="zh-CN"/>
        </w:rPr>
        <w:t>“</w:t>
      </w:r>
      <w:r>
        <w:rPr>
          <w:rFonts w:hint="eastAsia"/>
          <w:sz w:val="22"/>
          <w:szCs w:val="22"/>
          <w:lang w:val="en-US" w:eastAsia="zh-CN"/>
        </w:rPr>
        <w:t xml:space="preserve">3.1.7 </w:t>
      </w:r>
      <w:r>
        <w:rPr>
          <w:rFonts w:hint="eastAsia"/>
          <w:sz w:val="22"/>
          <w:szCs w:val="22"/>
        </w:rPr>
        <w:t>屋面采用有组织排水时，排水方式和水落管数量应按现行行业标准</w:t>
      </w:r>
      <w:r>
        <w:rPr>
          <w:rFonts w:hint="eastAsia" w:ascii="Times New Roman" w:hAnsi="Times New Roman"/>
          <w:bCs w:val="0"/>
          <w:sz w:val="22"/>
          <w:szCs w:val="22"/>
        </w:rPr>
        <w:t>《建筑屋面雨水排水系统技术规程》CJJ</w:t>
      </w:r>
      <w:r>
        <w:rPr>
          <w:rFonts w:hint="eastAsia"/>
          <w:bCs w:val="0"/>
          <w:sz w:val="22"/>
          <w:szCs w:val="22"/>
        </w:rPr>
        <w:t xml:space="preserve"> 142</w:t>
      </w:r>
      <w:r>
        <w:rPr>
          <w:rFonts w:hint="eastAsia"/>
          <w:sz w:val="22"/>
          <w:szCs w:val="22"/>
        </w:rPr>
        <w:t>的有关规定确定</w:t>
      </w:r>
      <w:r>
        <w:rPr>
          <w:rFonts w:hint="eastAsia"/>
          <w:sz w:val="22"/>
          <w:szCs w:val="22"/>
          <w:lang w:eastAsia="zh-CN"/>
        </w:rPr>
        <w:t>。”</w:t>
      </w:r>
      <w:r>
        <w:rPr>
          <w:rFonts w:hint="eastAsia"/>
          <w:sz w:val="22"/>
          <w:szCs w:val="22"/>
        </w:rPr>
        <w:t>屋面排水方式的选择，应根据建筑物屋顶的形式、气候条件、使用功能等因素确定。屋面排水方式可分为有组织排水和无组织排水，有组织排水包括普通重力排水和虹吸排水，近些年在大跨度大面积屋面工程中，虹吸排水系统的应用越来越多，但这种排水方式需要根据雨水流量、汇水面积、屋面坡度、天沟尺寸等进行具体设计。</w:t>
      </w:r>
      <w:r>
        <w:rPr>
          <w:rFonts w:hint="eastAsia"/>
          <w:sz w:val="22"/>
          <w:szCs w:val="22"/>
          <w:lang w:eastAsia="zh-CN"/>
        </w:rPr>
        <w:t>此外，根据屋面坡度大小、设计重现期等因素，计算确定所需的水落管数量。</w:t>
      </w:r>
    </w:p>
    <w:p>
      <w:pPr>
        <w:spacing w:line="360" w:lineRule="auto"/>
        <w:ind w:firstLine="431" w:firstLineChars="196"/>
        <w:rPr>
          <w:sz w:val="22"/>
          <w:szCs w:val="22"/>
        </w:rPr>
      </w:pPr>
      <w:r>
        <w:rPr>
          <w:rFonts w:hint="eastAsia"/>
          <w:sz w:val="22"/>
          <w:szCs w:val="22"/>
        </w:rPr>
        <w:t>“</w:t>
      </w:r>
      <w:r>
        <w:rPr>
          <w:rFonts w:hint="eastAsia"/>
          <w:sz w:val="22"/>
          <w:szCs w:val="22"/>
          <w:lang w:val="en-US" w:eastAsia="zh-CN"/>
        </w:rPr>
        <w:t xml:space="preserve">3.2 </w:t>
      </w:r>
      <w:r>
        <w:rPr>
          <w:rFonts w:hint="eastAsia"/>
          <w:sz w:val="22"/>
          <w:szCs w:val="22"/>
        </w:rPr>
        <w:t>设计技术要求”中对屋面系统防火、避雷、抗风揭等设计应符合相应国家相关标准的规定</w:t>
      </w:r>
      <w:r>
        <w:rPr>
          <w:rFonts w:hint="eastAsia"/>
          <w:sz w:val="22"/>
          <w:szCs w:val="22"/>
          <w:lang w:eastAsia="zh-CN"/>
        </w:rPr>
        <w:t>。《建筑设计防火规范》</w:t>
      </w:r>
      <w:r>
        <w:rPr>
          <w:rFonts w:hint="eastAsia"/>
          <w:sz w:val="22"/>
          <w:szCs w:val="22"/>
          <w:lang w:val="en-US" w:eastAsia="zh-CN"/>
        </w:rPr>
        <w:t>GB 50016对厂房屋面防水层的燃烧性能做出要求，使用难燃、不燃材料，对屋面板采用金属夹芯板时，芯板应为不燃材料</w:t>
      </w:r>
      <w:r>
        <w:rPr>
          <w:rFonts w:hint="eastAsia"/>
          <w:sz w:val="22"/>
          <w:szCs w:val="22"/>
          <w:lang w:eastAsia="zh-CN"/>
        </w:rPr>
        <w:t>。</w:t>
      </w:r>
      <w:r>
        <w:rPr>
          <w:rFonts w:hint="eastAsia"/>
          <w:sz w:val="22"/>
          <w:szCs w:val="22"/>
        </w:rPr>
        <w:t>《建筑物防雷设计规范》GB 50057对屋面接闪杆、接闪线、接闪网的规格、布置方式、接地等都提出了要求</w:t>
      </w:r>
      <w:r>
        <w:rPr>
          <w:rFonts w:hint="eastAsia"/>
          <w:sz w:val="22"/>
          <w:szCs w:val="22"/>
          <w:lang w:eastAsia="zh-CN"/>
        </w:rPr>
        <w:t>。</w:t>
      </w:r>
      <w:r>
        <w:rPr>
          <w:rFonts w:hint="eastAsia"/>
          <w:sz w:val="22"/>
          <w:szCs w:val="22"/>
        </w:rPr>
        <w:t>以确保</w:t>
      </w:r>
      <w:r>
        <w:rPr>
          <w:rFonts w:hint="eastAsia" w:cs="Times New Roman"/>
          <w:sz w:val="22"/>
          <w:szCs w:val="22"/>
        </w:rPr>
        <w:t>屋面工程系统的防火、避雷设施满足国家标准统一要求，为防水层的设计应用做好基础。</w:t>
      </w:r>
      <w:r>
        <w:rPr>
          <w:rFonts w:hint="eastAsia"/>
          <w:sz w:val="22"/>
          <w:szCs w:val="22"/>
        </w:rPr>
        <w:t>《建筑结构荷载规范》</w:t>
      </w:r>
      <w:r>
        <w:rPr>
          <w:sz w:val="22"/>
          <w:szCs w:val="22"/>
        </w:rPr>
        <w:t>GB 50009</w:t>
      </w:r>
      <w:r>
        <w:rPr>
          <w:rFonts w:hint="eastAsia"/>
          <w:sz w:val="22"/>
          <w:szCs w:val="22"/>
        </w:rPr>
        <w:t>、《建筑金属围护系统工程技术标准》</w:t>
      </w:r>
      <w:r>
        <w:rPr>
          <w:sz w:val="22"/>
          <w:szCs w:val="22"/>
        </w:rPr>
        <w:t>JGJ/T 473</w:t>
      </w:r>
      <w:r>
        <w:rPr>
          <w:rFonts w:hint="eastAsia"/>
          <w:sz w:val="22"/>
          <w:szCs w:val="22"/>
        </w:rPr>
        <w:t>、《单层防水卷材屋面工程技术规程》</w:t>
      </w:r>
      <w:r>
        <w:rPr>
          <w:sz w:val="22"/>
          <w:szCs w:val="22"/>
        </w:rPr>
        <w:t xml:space="preserve">JGJ/T 316 </w:t>
      </w:r>
      <w:r>
        <w:rPr>
          <w:rFonts w:hint="eastAsia"/>
          <w:sz w:val="22"/>
          <w:szCs w:val="22"/>
        </w:rPr>
        <w:t>等建筑屋面风荷载的计算给出了具体要求，对中间、边缘和角部区域的抗风荷载需要进行加强。此外对屋面后期维护需设置的安全防护设施等做出规定，与屋面主体结构或围护系统连接安全可靠。由于采用单层防水卷材的屋面工程，在交付后的使用期间，对出屋面构件、检修设备、安全防护设施的日常维护检查时，为了保证到屋面人员的人身安全，需要对相关设备设施的固定可靠进行要求。</w:t>
      </w:r>
    </w:p>
    <w:p>
      <w:pPr>
        <w:spacing w:line="360" w:lineRule="auto"/>
        <w:ind w:firstLine="431" w:firstLineChars="196"/>
        <w:rPr>
          <w:rFonts w:hint="eastAsia" w:eastAsia="宋体"/>
          <w:sz w:val="22"/>
          <w:szCs w:val="22"/>
          <w:lang w:eastAsia="zh-CN"/>
        </w:rPr>
      </w:pPr>
      <w:r>
        <w:rPr>
          <w:rFonts w:hint="eastAsia"/>
          <w:sz w:val="22"/>
          <w:szCs w:val="22"/>
        </w:rPr>
        <w:t>“</w:t>
      </w:r>
      <w:r>
        <w:rPr>
          <w:rFonts w:hint="eastAsia"/>
          <w:sz w:val="22"/>
          <w:szCs w:val="22"/>
          <w:lang w:val="en-US" w:eastAsia="zh-CN"/>
        </w:rPr>
        <w:t xml:space="preserve">3.3.1 </w:t>
      </w:r>
      <w:r>
        <w:rPr>
          <w:rFonts w:hint="eastAsia"/>
          <w:sz w:val="22"/>
          <w:szCs w:val="22"/>
        </w:rPr>
        <w:t>防水</w:t>
      </w:r>
      <w:r>
        <w:rPr>
          <w:rFonts w:hint="eastAsia"/>
          <w:sz w:val="22"/>
          <w:szCs w:val="22"/>
          <w:lang w:eastAsia="zh-CN"/>
        </w:rPr>
        <w:t>卷材</w:t>
      </w:r>
      <w:r>
        <w:rPr>
          <w:rFonts w:hint="eastAsia"/>
          <w:sz w:val="22"/>
          <w:szCs w:val="22"/>
        </w:rPr>
        <w:t>应根据防水等级、防水构造、基层条件、使用功能和环境条件等因素选择防水卷材品种及施工方法，并应符合表3.3.1的规定。”</w:t>
      </w:r>
      <w:r>
        <w:rPr>
          <w:rFonts w:hint="eastAsia"/>
          <w:sz w:val="22"/>
          <w:szCs w:val="22"/>
          <w:lang w:eastAsia="zh-CN"/>
        </w:rPr>
        <w:t>单层防水卷材屋面在国内的推广应用中，聚氯乙烯防水卷材（</w:t>
      </w:r>
      <w:r>
        <w:rPr>
          <w:rFonts w:hint="eastAsia"/>
          <w:sz w:val="22"/>
          <w:szCs w:val="22"/>
          <w:lang w:val="en-US" w:eastAsia="zh-CN"/>
        </w:rPr>
        <w:t>PVC</w:t>
      </w:r>
      <w:r>
        <w:rPr>
          <w:rFonts w:hint="eastAsia"/>
          <w:sz w:val="22"/>
          <w:szCs w:val="22"/>
          <w:lang w:eastAsia="zh-CN"/>
        </w:rPr>
        <w:t>）、热塑性聚烯烃防水卷材（</w:t>
      </w:r>
      <w:r>
        <w:rPr>
          <w:rFonts w:hint="eastAsia"/>
          <w:sz w:val="22"/>
          <w:szCs w:val="22"/>
          <w:lang w:val="en-US" w:eastAsia="zh-CN"/>
        </w:rPr>
        <w:t>TPO</w:t>
      </w:r>
      <w:r>
        <w:rPr>
          <w:rFonts w:hint="eastAsia"/>
          <w:sz w:val="22"/>
          <w:szCs w:val="22"/>
          <w:lang w:eastAsia="zh-CN"/>
        </w:rPr>
        <w:t>）、三元乙丙橡胶防水卷材（</w:t>
      </w:r>
      <w:r>
        <w:rPr>
          <w:rFonts w:hint="eastAsia"/>
          <w:sz w:val="22"/>
          <w:szCs w:val="22"/>
          <w:lang w:val="en-US" w:eastAsia="zh-CN"/>
        </w:rPr>
        <w:t>EPDM</w:t>
      </w:r>
      <w:r>
        <w:rPr>
          <w:rFonts w:hint="eastAsia"/>
          <w:sz w:val="22"/>
          <w:szCs w:val="22"/>
          <w:lang w:eastAsia="zh-CN"/>
        </w:rPr>
        <w:t>）、</w:t>
      </w:r>
      <w:r>
        <w:rPr>
          <w:rFonts w:hint="eastAsia"/>
          <w:sz w:val="22"/>
          <w:szCs w:val="22"/>
        </w:rPr>
        <w:t>酮乙烯酯防水卷材</w:t>
      </w:r>
      <w:r>
        <w:rPr>
          <w:rFonts w:hint="eastAsia"/>
          <w:sz w:val="22"/>
          <w:szCs w:val="22"/>
          <w:lang w:eastAsia="zh-CN"/>
        </w:rPr>
        <w:t>（</w:t>
      </w:r>
      <w:r>
        <w:rPr>
          <w:rFonts w:hint="eastAsia"/>
          <w:sz w:val="22"/>
          <w:szCs w:val="22"/>
          <w:lang w:val="en-US" w:eastAsia="zh-CN"/>
        </w:rPr>
        <w:t>KEE</w:t>
      </w:r>
      <w:r>
        <w:rPr>
          <w:rFonts w:hint="eastAsia"/>
          <w:sz w:val="22"/>
          <w:szCs w:val="22"/>
          <w:lang w:eastAsia="zh-CN"/>
        </w:rPr>
        <w:t>）成为目前常用的外露单层防水材料。按照行业统计数据显示，高分子防水卷材的市场销售占比达</w:t>
      </w:r>
      <w:r>
        <w:rPr>
          <w:rFonts w:hint="eastAsia"/>
          <w:sz w:val="22"/>
          <w:szCs w:val="22"/>
          <w:lang w:val="en-US" w:eastAsia="zh-CN"/>
        </w:rPr>
        <w:t>11.16%（中国建筑防水协会发布2021年年度发展报告），多数应用于单层卷材屋面的工程项目中。</w:t>
      </w:r>
    </w:p>
    <w:p>
      <w:pPr>
        <w:spacing w:line="360" w:lineRule="auto"/>
        <w:ind w:firstLine="431" w:firstLineChars="196"/>
        <w:rPr>
          <w:rFonts w:hint="eastAsia"/>
          <w:sz w:val="22"/>
          <w:szCs w:val="22"/>
        </w:rPr>
      </w:pPr>
      <w:r>
        <w:rPr>
          <w:rFonts w:hint="eastAsia"/>
          <w:sz w:val="22"/>
          <w:szCs w:val="22"/>
        </w:rPr>
        <w:t>防水卷材的施工方法按照</w:t>
      </w:r>
      <w:r>
        <w:rPr>
          <w:rFonts w:hint="eastAsia"/>
          <w:sz w:val="22"/>
          <w:szCs w:val="22"/>
          <w:lang w:eastAsia="zh-CN"/>
        </w:rPr>
        <w:t>《单层防水卷材屋面工程技术规程》</w:t>
      </w:r>
      <w:r>
        <w:rPr>
          <w:rFonts w:hint="eastAsia"/>
          <w:sz w:val="22"/>
          <w:szCs w:val="22"/>
        </w:rPr>
        <w:t>JGJ/T 316相关规定执行，同时参考《酮乙烯酯（KEE）防水卷材屋面工程技术标准》T/CWA 501-2021中相关规定。</w:t>
      </w:r>
    </w:p>
    <w:p>
      <w:pPr>
        <w:spacing w:line="360" w:lineRule="auto"/>
        <w:jc w:val="center"/>
        <w:rPr>
          <w:rFonts w:ascii="宋体" w:hAnsi="宋体"/>
          <w:b/>
          <w:kern w:val="0"/>
          <w:sz w:val="20"/>
          <w:szCs w:val="20"/>
        </w:rPr>
      </w:pPr>
      <w:r>
        <w:rPr>
          <w:rFonts w:hint="eastAsia" w:ascii="宋体" w:hAnsi="宋体"/>
          <w:b/>
          <w:kern w:val="0"/>
          <w:sz w:val="20"/>
          <w:szCs w:val="20"/>
        </w:rPr>
        <w:t>防水卷材及相应施工方法</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936"/>
        <w:gridCol w:w="1296"/>
        <w:gridCol w:w="1057"/>
        <w:gridCol w:w="1175"/>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76" w:type="dxa"/>
            <w:vMerge w:val="restart"/>
            <w:tcBorders>
              <w:top w:val="single" w:color="auto" w:sz="12" w:space="0"/>
              <w:left w:val="single" w:color="auto" w:sz="12" w:space="0"/>
              <w:bottom w:val="single" w:color="auto" w:sz="4" w:space="0"/>
              <w:right w:val="single" w:color="auto" w:sz="4" w:space="0"/>
            </w:tcBorders>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材料名称</w:t>
            </w:r>
          </w:p>
        </w:tc>
        <w:tc>
          <w:tcPr>
            <w:tcW w:w="936" w:type="dxa"/>
            <w:vMerge w:val="restart"/>
            <w:tcBorders>
              <w:top w:val="single" w:color="auto" w:sz="12"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型号</w:t>
            </w:r>
          </w:p>
        </w:tc>
        <w:tc>
          <w:tcPr>
            <w:tcW w:w="1296" w:type="dxa"/>
            <w:vMerge w:val="restart"/>
            <w:tcBorders>
              <w:top w:val="single" w:color="auto" w:sz="12"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机械固定法</w:t>
            </w:r>
          </w:p>
        </w:tc>
        <w:tc>
          <w:tcPr>
            <w:tcW w:w="2232" w:type="dxa"/>
            <w:gridSpan w:val="2"/>
            <w:tcBorders>
              <w:top w:val="single" w:color="auto" w:sz="12"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粘结法</w:t>
            </w:r>
          </w:p>
        </w:tc>
        <w:tc>
          <w:tcPr>
            <w:tcW w:w="1296" w:type="dxa"/>
            <w:vMerge w:val="restart"/>
            <w:tcBorders>
              <w:top w:val="single" w:color="auto" w:sz="12" w:space="0"/>
              <w:left w:val="single" w:color="auto" w:sz="4" w:space="0"/>
              <w:bottom w:val="single" w:color="auto" w:sz="4" w:space="0"/>
              <w:right w:val="single" w:color="auto" w:sz="12" w:space="0"/>
            </w:tcBorders>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压铺法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76"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ascii="宋体" w:hAnsi="宋体" w:cs="宋体"/>
                <w:kern w:val="0"/>
                <w:sz w:val="18"/>
                <w:szCs w:val="18"/>
              </w:rPr>
            </w:pPr>
          </w:p>
        </w:tc>
        <w:tc>
          <w:tcPr>
            <w:tcW w:w="93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p>
        </w:tc>
        <w:tc>
          <w:tcPr>
            <w:tcW w:w="10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满粘法</w:t>
            </w:r>
          </w:p>
        </w:tc>
        <w:tc>
          <w:tcPr>
            <w:tcW w:w="11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条粘法</w:t>
            </w:r>
          </w:p>
        </w:tc>
        <w:tc>
          <w:tcPr>
            <w:tcW w:w="1296" w:type="dxa"/>
            <w:vMerge w:val="continue"/>
            <w:tcBorders>
              <w:top w:val="single" w:color="auto" w:sz="4" w:space="0"/>
              <w:left w:val="single" w:color="auto" w:sz="4" w:space="0"/>
              <w:bottom w:val="single" w:color="auto" w:sz="4" w:space="0"/>
              <w:right w:val="single" w:color="auto" w:sz="12" w:space="0"/>
            </w:tcBorders>
            <w:vAlign w:val="center"/>
          </w:tcPr>
          <w:p>
            <w:pPr>
              <w:widowControl/>
              <w:jc w:val="center"/>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376" w:type="dxa"/>
            <w:vMerge w:val="restart"/>
            <w:tcBorders>
              <w:top w:val="single" w:color="auto" w:sz="4" w:space="0"/>
              <w:left w:val="single" w:color="auto" w:sz="12"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聚氯乙烯（</w:t>
            </w:r>
            <w:r>
              <w:rPr>
                <w:kern w:val="0"/>
                <w:sz w:val="18"/>
                <w:szCs w:val="18"/>
              </w:rPr>
              <w:t>PVC</w:t>
            </w:r>
            <w:r>
              <w:rPr>
                <w:rFonts w:hint="eastAsia" w:ascii="宋体" w:hAnsi="宋体" w:cs="宋体"/>
                <w:kern w:val="0"/>
                <w:sz w:val="18"/>
                <w:szCs w:val="18"/>
              </w:rPr>
              <w:t>）防水卷材</w:t>
            </w:r>
          </w:p>
          <w:p>
            <w:pPr>
              <w:widowControl/>
              <w:jc w:val="center"/>
              <w:rPr>
                <w:rFonts w:ascii="宋体" w:hAnsi="宋体" w:cs="宋体"/>
                <w:kern w:val="0"/>
                <w:sz w:val="18"/>
                <w:szCs w:val="18"/>
              </w:rPr>
            </w:pPr>
          </w:p>
        </w:tc>
        <w:tc>
          <w:tcPr>
            <w:tcW w:w="936"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rFonts w:hint="eastAsia"/>
                <w:kern w:val="0"/>
                <w:sz w:val="18"/>
                <w:szCs w:val="18"/>
              </w:rPr>
              <w:t>H</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sym w:font="Symbol" w:char="00B4"/>
            </w:r>
          </w:p>
        </w:tc>
        <w:tc>
          <w:tcPr>
            <w:tcW w:w="10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sym w:font="Symbol" w:char="00B4"/>
            </w:r>
          </w:p>
        </w:tc>
        <w:tc>
          <w:tcPr>
            <w:tcW w:w="1175"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sym w:font="Symbol" w:char="00B4"/>
            </w:r>
          </w:p>
        </w:tc>
        <w:tc>
          <w:tcPr>
            <w:tcW w:w="1296"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ascii="宋体" w:hAnsi="宋体" w:cs="宋体"/>
                <w:kern w:val="0"/>
                <w:sz w:val="18"/>
                <w:szCs w:val="18"/>
              </w:rPr>
            </w:pPr>
          </w:p>
        </w:tc>
        <w:tc>
          <w:tcPr>
            <w:tcW w:w="936"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rFonts w:hint="eastAsia"/>
                <w:kern w:val="0"/>
                <w:sz w:val="18"/>
                <w:szCs w:val="18"/>
              </w:rPr>
              <w:t>L</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sym w:font="Symbol" w:char="00B4"/>
            </w:r>
          </w:p>
        </w:tc>
        <w:tc>
          <w:tcPr>
            <w:tcW w:w="10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1175"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w:t>
            </w:r>
          </w:p>
        </w:tc>
        <w:tc>
          <w:tcPr>
            <w:tcW w:w="1296"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ascii="宋体" w:hAnsi="宋体" w:cs="宋体"/>
                <w:kern w:val="0"/>
                <w:sz w:val="18"/>
                <w:szCs w:val="18"/>
              </w:rPr>
            </w:pPr>
          </w:p>
        </w:tc>
        <w:tc>
          <w:tcPr>
            <w:tcW w:w="936"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rFonts w:hint="eastAsia"/>
                <w:kern w:val="0"/>
                <w:sz w:val="18"/>
                <w:szCs w:val="18"/>
              </w:rPr>
              <w:t>P</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10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sym w:font="Symbol" w:char="00B4"/>
            </w:r>
          </w:p>
        </w:tc>
        <w:tc>
          <w:tcPr>
            <w:tcW w:w="1175"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sym w:font="Symbol" w:char="00B4"/>
            </w:r>
          </w:p>
        </w:tc>
        <w:tc>
          <w:tcPr>
            <w:tcW w:w="1296"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ascii="宋体" w:hAnsi="宋体" w:cs="宋体"/>
                <w:kern w:val="0"/>
                <w:sz w:val="18"/>
                <w:szCs w:val="18"/>
              </w:rPr>
            </w:pPr>
          </w:p>
        </w:tc>
        <w:tc>
          <w:tcPr>
            <w:tcW w:w="936"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rFonts w:hint="eastAsia"/>
                <w:kern w:val="0"/>
                <w:sz w:val="18"/>
                <w:szCs w:val="18"/>
              </w:rPr>
              <w:t>G</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sym w:font="Symbol" w:char="00B4"/>
            </w:r>
          </w:p>
        </w:tc>
        <w:tc>
          <w:tcPr>
            <w:tcW w:w="10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1175"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sym w:font="Symbol" w:char="00B4"/>
            </w:r>
          </w:p>
        </w:tc>
        <w:tc>
          <w:tcPr>
            <w:tcW w:w="1296"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ascii="宋体" w:hAnsi="宋体" w:cs="宋体"/>
                <w:kern w:val="0"/>
                <w:sz w:val="18"/>
                <w:szCs w:val="18"/>
              </w:rPr>
            </w:pPr>
          </w:p>
        </w:tc>
        <w:tc>
          <w:tcPr>
            <w:tcW w:w="936"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rFonts w:hint="eastAsia"/>
                <w:kern w:val="0"/>
                <w:sz w:val="18"/>
                <w:szCs w:val="18"/>
              </w:rPr>
              <w:t>GL</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sym w:font="Symbol" w:char="00B4"/>
            </w:r>
          </w:p>
        </w:tc>
        <w:tc>
          <w:tcPr>
            <w:tcW w:w="10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1175"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w:t>
            </w:r>
          </w:p>
        </w:tc>
        <w:tc>
          <w:tcPr>
            <w:tcW w:w="1296"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restart"/>
            <w:tcBorders>
              <w:top w:val="single" w:color="auto" w:sz="4" w:space="0"/>
              <w:left w:val="single" w:color="auto" w:sz="12"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热塑性聚烯烃（</w:t>
            </w:r>
            <w:r>
              <w:rPr>
                <w:rFonts w:hint="eastAsia"/>
                <w:kern w:val="0"/>
                <w:sz w:val="18"/>
                <w:szCs w:val="18"/>
              </w:rPr>
              <w:t>TPO</w:t>
            </w:r>
            <w:r>
              <w:rPr>
                <w:rFonts w:hint="eastAsia" w:ascii="宋体" w:hAnsi="宋体" w:cs="宋体"/>
                <w:kern w:val="0"/>
                <w:sz w:val="18"/>
                <w:szCs w:val="18"/>
              </w:rPr>
              <w:t>）防水卷材</w:t>
            </w:r>
          </w:p>
        </w:tc>
        <w:tc>
          <w:tcPr>
            <w:tcW w:w="936"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rFonts w:hint="eastAsia"/>
                <w:kern w:val="0"/>
                <w:sz w:val="18"/>
                <w:szCs w:val="18"/>
              </w:rPr>
              <w:t>H</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sym w:font="Symbol" w:char="00B4"/>
            </w:r>
          </w:p>
        </w:tc>
        <w:tc>
          <w:tcPr>
            <w:tcW w:w="10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sym w:font="Symbol" w:char="00B4"/>
            </w:r>
          </w:p>
        </w:tc>
        <w:tc>
          <w:tcPr>
            <w:tcW w:w="1175"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sym w:font="Symbol" w:char="00B4"/>
            </w:r>
          </w:p>
        </w:tc>
        <w:tc>
          <w:tcPr>
            <w:tcW w:w="1296"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ascii="宋体" w:hAnsi="宋体" w:cs="宋体"/>
                <w:kern w:val="0"/>
                <w:sz w:val="18"/>
                <w:szCs w:val="18"/>
              </w:rPr>
            </w:pPr>
          </w:p>
        </w:tc>
        <w:tc>
          <w:tcPr>
            <w:tcW w:w="936"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rFonts w:hint="eastAsia"/>
                <w:kern w:val="0"/>
                <w:sz w:val="18"/>
                <w:szCs w:val="18"/>
              </w:rPr>
              <w:t>L</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sym w:font="Symbol" w:char="00B4"/>
            </w:r>
          </w:p>
        </w:tc>
        <w:tc>
          <w:tcPr>
            <w:tcW w:w="10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1175"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w:t>
            </w:r>
          </w:p>
        </w:tc>
        <w:tc>
          <w:tcPr>
            <w:tcW w:w="1296"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ascii="宋体" w:hAnsi="宋体" w:cs="宋体"/>
                <w:kern w:val="0"/>
                <w:sz w:val="18"/>
                <w:szCs w:val="18"/>
              </w:rPr>
            </w:pPr>
          </w:p>
        </w:tc>
        <w:tc>
          <w:tcPr>
            <w:tcW w:w="936"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rFonts w:hint="eastAsia"/>
                <w:kern w:val="0"/>
                <w:sz w:val="18"/>
                <w:szCs w:val="18"/>
              </w:rPr>
              <w:t>P</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10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1175"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sym w:font="Symbol" w:char="00B4"/>
            </w:r>
          </w:p>
        </w:tc>
        <w:tc>
          <w:tcPr>
            <w:tcW w:w="1296"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restart"/>
            <w:tcBorders>
              <w:top w:val="single" w:color="auto" w:sz="4" w:space="0"/>
              <w:left w:val="single" w:color="auto" w:sz="12"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酮乙烯酯（KEE）防水卷材</w:t>
            </w:r>
          </w:p>
        </w:tc>
        <w:tc>
          <w:tcPr>
            <w:tcW w:w="9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P</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10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1175"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sym w:font="Symbol" w:char="00B4"/>
            </w:r>
          </w:p>
        </w:tc>
        <w:tc>
          <w:tcPr>
            <w:tcW w:w="1296"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ascii="宋体" w:hAnsi="宋体" w:cs="宋体"/>
                <w:kern w:val="0"/>
                <w:sz w:val="18"/>
                <w:szCs w:val="18"/>
              </w:rPr>
            </w:pPr>
          </w:p>
        </w:tc>
        <w:tc>
          <w:tcPr>
            <w:tcW w:w="9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PL</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10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1175"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w:t>
            </w:r>
          </w:p>
        </w:tc>
        <w:tc>
          <w:tcPr>
            <w:tcW w:w="1296"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restart"/>
            <w:tcBorders>
              <w:top w:val="single" w:color="auto" w:sz="4" w:space="0"/>
              <w:left w:val="single" w:color="auto" w:sz="12"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三元乙丙橡胶（</w:t>
            </w:r>
            <w:r>
              <w:rPr>
                <w:rFonts w:hint="eastAsia"/>
                <w:kern w:val="0"/>
                <w:sz w:val="18"/>
                <w:szCs w:val="18"/>
              </w:rPr>
              <w:t>EPDM</w:t>
            </w:r>
            <w:r>
              <w:rPr>
                <w:rFonts w:hint="eastAsia" w:ascii="宋体" w:hAnsi="宋体" w:cs="宋体"/>
                <w:kern w:val="0"/>
                <w:sz w:val="18"/>
                <w:szCs w:val="18"/>
              </w:rPr>
              <w:t>）防水卷材</w:t>
            </w:r>
          </w:p>
        </w:tc>
        <w:tc>
          <w:tcPr>
            <w:tcW w:w="9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无增强</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10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1175"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sym w:font="Symbol" w:char="00B4"/>
            </w:r>
          </w:p>
        </w:tc>
        <w:tc>
          <w:tcPr>
            <w:tcW w:w="1296"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ascii="宋体" w:hAnsi="宋体" w:cs="宋体"/>
                <w:kern w:val="0"/>
                <w:sz w:val="18"/>
                <w:szCs w:val="18"/>
              </w:rPr>
            </w:pPr>
          </w:p>
        </w:tc>
        <w:tc>
          <w:tcPr>
            <w:tcW w:w="9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内增强</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10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1175"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sym w:font="Symbol" w:char="00B4"/>
            </w:r>
          </w:p>
        </w:tc>
        <w:tc>
          <w:tcPr>
            <w:tcW w:w="1296"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136" w:type="dxa"/>
            <w:gridSpan w:val="6"/>
            <w:tcBorders>
              <w:top w:val="single" w:color="auto" w:sz="4" w:space="0"/>
              <w:left w:val="single" w:color="auto" w:sz="12" w:space="0"/>
              <w:bottom w:val="single" w:color="auto" w:sz="12" w:space="0"/>
              <w:right w:val="single" w:color="auto" w:sz="12" w:space="0"/>
            </w:tcBorders>
            <w:vAlign w:val="center"/>
          </w:tcPr>
          <w:p>
            <w:pPr>
              <w:ind w:firstLine="360" w:firstLineChars="200"/>
              <w:rPr>
                <w:rFonts w:ascii="宋体" w:hAnsi="宋体" w:cs="宋体"/>
                <w:kern w:val="0"/>
                <w:sz w:val="18"/>
                <w:szCs w:val="18"/>
              </w:rPr>
            </w:pPr>
            <w:r>
              <w:rPr>
                <w:rFonts w:cs="宋体"/>
                <w:kern w:val="0"/>
                <w:sz w:val="18"/>
                <w:szCs w:val="18"/>
              </w:rPr>
              <w:t>H</w:t>
            </w:r>
            <w:r>
              <w:rPr>
                <w:rFonts w:hint="eastAsia" w:cs="宋体"/>
                <w:kern w:val="0"/>
                <w:sz w:val="18"/>
                <w:szCs w:val="18"/>
              </w:rPr>
              <w:t>表示均质型卷材，</w:t>
            </w:r>
            <w:r>
              <w:rPr>
                <w:rFonts w:cs="宋体"/>
                <w:kern w:val="0"/>
                <w:sz w:val="18"/>
                <w:szCs w:val="18"/>
              </w:rPr>
              <w:t>L</w:t>
            </w:r>
            <w:r>
              <w:rPr>
                <w:rFonts w:hint="eastAsia" w:cs="宋体"/>
                <w:kern w:val="0"/>
                <w:sz w:val="18"/>
                <w:szCs w:val="18"/>
              </w:rPr>
              <w:t>表示带纤维背衬型卷材，</w:t>
            </w:r>
            <w:r>
              <w:rPr>
                <w:rFonts w:cs="宋体"/>
                <w:kern w:val="0"/>
                <w:sz w:val="18"/>
                <w:szCs w:val="18"/>
              </w:rPr>
              <w:t>P</w:t>
            </w:r>
            <w:r>
              <w:rPr>
                <w:rFonts w:hint="eastAsia" w:cs="宋体"/>
                <w:kern w:val="0"/>
                <w:sz w:val="18"/>
                <w:szCs w:val="18"/>
              </w:rPr>
              <w:t>表示织物内增强型卷材，</w:t>
            </w:r>
            <w:r>
              <w:rPr>
                <w:rFonts w:cs="宋体"/>
                <w:kern w:val="0"/>
                <w:sz w:val="18"/>
                <w:szCs w:val="18"/>
              </w:rPr>
              <w:t>G</w:t>
            </w:r>
            <w:r>
              <w:rPr>
                <w:rFonts w:hint="eastAsia" w:cs="宋体"/>
                <w:kern w:val="0"/>
                <w:sz w:val="18"/>
                <w:szCs w:val="18"/>
              </w:rPr>
              <w:t>表示玻璃纤维内增强型卷材，</w:t>
            </w:r>
            <w:r>
              <w:rPr>
                <w:rFonts w:cs="宋体"/>
                <w:kern w:val="0"/>
                <w:sz w:val="18"/>
                <w:szCs w:val="18"/>
              </w:rPr>
              <w:t>GL</w:t>
            </w:r>
            <w:r>
              <w:rPr>
                <w:rFonts w:hint="eastAsia" w:cs="宋体"/>
                <w:kern w:val="0"/>
                <w:sz w:val="18"/>
                <w:szCs w:val="18"/>
              </w:rPr>
              <w:t>表示玻璃纤维内增强带背衬型卷材。</w:t>
            </w:r>
          </w:p>
        </w:tc>
      </w:tr>
    </w:tbl>
    <w:p>
      <w:pPr>
        <w:spacing w:line="360" w:lineRule="auto"/>
        <w:ind w:firstLine="431" w:firstLineChars="196"/>
        <w:jc w:val="left"/>
        <w:rPr>
          <w:sz w:val="22"/>
          <w:szCs w:val="22"/>
        </w:rPr>
      </w:pPr>
      <w:r>
        <w:rPr>
          <w:rFonts w:hint="eastAsia"/>
          <w:sz w:val="22"/>
          <w:szCs w:val="22"/>
          <w:lang w:eastAsia="zh-CN"/>
        </w:rPr>
        <w:t>“</w:t>
      </w:r>
      <w:r>
        <w:rPr>
          <w:rFonts w:hint="eastAsia"/>
          <w:sz w:val="22"/>
          <w:szCs w:val="22"/>
          <w:lang w:val="en-US" w:eastAsia="zh-CN"/>
        </w:rPr>
        <w:t xml:space="preserve">3.3.2 </w:t>
      </w:r>
      <w:r>
        <w:rPr>
          <w:rFonts w:hint="eastAsia"/>
          <w:sz w:val="22"/>
          <w:szCs w:val="22"/>
        </w:rPr>
        <w:t>防水卷材搭接宽度</w:t>
      </w:r>
      <w:r>
        <w:rPr>
          <w:rFonts w:hint="eastAsia"/>
          <w:sz w:val="22"/>
          <w:szCs w:val="22"/>
          <w:lang w:eastAsia="zh-CN"/>
        </w:rPr>
        <w:t>”的要求。</w:t>
      </w:r>
      <w:r>
        <w:rPr>
          <w:rFonts w:hint="eastAsia"/>
          <w:sz w:val="22"/>
          <w:szCs w:val="22"/>
        </w:rPr>
        <w:t>采用单层防水卷材作为防水层的屋面工程，防水卷材的搭接宽度对整体防水层有重要影响，直接决定了防水层的抗风揭性能和防水搭接部位的防水效果。搭接宽度按照</w:t>
      </w:r>
      <w:r>
        <w:rPr>
          <w:rFonts w:hint="eastAsia"/>
          <w:sz w:val="22"/>
          <w:szCs w:val="22"/>
          <w:lang w:eastAsia="zh-CN"/>
        </w:rPr>
        <w:t>《单层防水卷材屋面工程技术规程》</w:t>
      </w:r>
      <w:r>
        <w:rPr>
          <w:rFonts w:hint="eastAsia"/>
          <w:sz w:val="22"/>
          <w:szCs w:val="22"/>
        </w:rPr>
        <w:t>JGJ/T 316相关规定</w:t>
      </w:r>
      <w:r>
        <w:rPr>
          <w:rFonts w:hint="eastAsia"/>
          <w:sz w:val="22"/>
          <w:szCs w:val="22"/>
          <w:lang w:eastAsia="zh-CN"/>
        </w:rPr>
        <w:t>执行</w:t>
      </w:r>
      <w:r>
        <w:rPr>
          <w:rFonts w:hint="eastAsia"/>
          <w:sz w:val="22"/>
          <w:szCs w:val="22"/>
        </w:rPr>
        <w:t>。</w:t>
      </w:r>
    </w:p>
    <w:p>
      <w:pPr>
        <w:pStyle w:val="8"/>
        <w:spacing w:line="360" w:lineRule="auto"/>
        <w:ind w:firstLine="440" w:firstLineChars="200"/>
        <w:rPr>
          <w:rFonts w:hint="eastAsia" w:ascii="Times New Roman" w:hAnsi="Times New Roman" w:eastAsia="宋体" w:cs="Times New Roman"/>
          <w:sz w:val="22"/>
          <w:lang w:eastAsia="zh-CN"/>
        </w:rPr>
      </w:pPr>
      <w:r>
        <w:rPr>
          <w:rFonts w:hint="eastAsia" w:ascii="Times New Roman" w:hAnsi="Times New Roman" w:eastAsia="宋体" w:cs="Times New Roman"/>
          <w:sz w:val="22"/>
          <w:szCs w:val="22"/>
          <w:lang w:eastAsia="zh-CN"/>
        </w:rPr>
        <w:t>“</w:t>
      </w:r>
      <w:r>
        <w:rPr>
          <w:rFonts w:hint="eastAsia" w:ascii="Times New Roman" w:hAnsi="Times New Roman" w:eastAsia="宋体" w:cs="Times New Roman"/>
          <w:sz w:val="22"/>
          <w:szCs w:val="22"/>
          <w:lang w:val="en-US" w:eastAsia="zh-CN"/>
        </w:rPr>
        <w:t>3.3.3~3.3.4 防水卷材的燃烧性能、耐水性、人老化性能以及防水材料的相容性要求</w:t>
      </w:r>
      <w:r>
        <w:rPr>
          <w:rFonts w:hint="eastAsia" w:ascii="Times New Roman" w:hAnsi="Times New Roman" w:eastAsia="宋体" w:cs="Times New Roman"/>
          <w:sz w:val="22"/>
          <w:szCs w:val="22"/>
          <w:lang w:eastAsia="zh-CN"/>
        </w:rPr>
        <w:t>”，</w:t>
      </w:r>
      <w:r>
        <w:rPr>
          <w:rFonts w:hint="eastAsia" w:ascii="Times New Roman" w:hAnsi="Times New Roman" w:eastAsia="宋体" w:cs="Times New Roman"/>
          <w:sz w:val="22"/>
          <w:szCs w:val="22"/>
        </w:rPr>
        <w:t>《建筑与市政工程防水通用规范》</w:t>
      </w:r>
      <w:r>
        <w:rPr>
          <w:rFonts w:hint="eastAsia" w:ascii="Times New Roman" w:hAnsi="Times New Roman" w:eastAsia="宋体" w:cs="Times New Roman"/>
          <w:sz w:val="22"/>
          <w:szCs w:val="22"/>
          <w:lang w:eastAsia="zh-CN"/>
        </w:rPr>
        <w:t>（报批稿）中对防水设计工作年限的要求大幅提升，在不同环境、不同地域的建筑防水设计时，防水材料的物理性能指标直接影响了其工作年限及系统的可靠性。这样规定是</w:t>
      </w:r>
      <w:r>
        <w:rPr>
          <w:rFonts w:hint="eastAsia" w:ascii="Times New Roman" w:hAnsi="Times New Roman" w:eastAsia="宋体" w:cs="Times New Roman"/>
          <w:sz w:val="22"/>
        </w:rPr>
        <w:t>为了保证屋面系统的可靠性和稳定性，</w:t>
      </w:r>
      <w:r>
        <w:rPr>
          <w:rFonts w:hint="eastAsia" w:ascii="Times New Roman" w:hAnsi="Times New Roman" w:eastAsia="宋体" w:cs="Times New Roman"/>
          <w:sz w:val="22"/>
          <w:lang w:eastAsia="zh-CN"/>
        </w:rPr>
        <w:t>满足建筑市场对防水质量提升的相关要求。</w:t>
      </w:r>
    </w:p>
    <w:p>
      <w:pPr>
        <w:pStyle w:val="8"/>
        <w:spacing w:line="360" w:lineRule="auto"/>
        <w:ind w:firstLine="440" w:firstLineChars="200"/>
        <w:rPr>
          <w:rFonts w:hint="eastAsia" w:ascii="Times New Roman" w:hAnsi="Times New Roman" w:eastAsia="宋体" w:cs="Times New Roman"/>
          <w:sz w:val="22"/>
          <w:szCs w:val="22"/>
          <w:lang w:eastAsia="zh-CN"/>
        </w:rPr>
      </w:pPr>
      <w:r>
        <w:rPr>
          <w:rFonts w:hint="eastAsia" w:ascii="Times New Roman" w:hAnsi="Times New Roman" w:eastAsia="宋体" w:cs="Times New Roman"/>
          <w:sz w:val="22"/>
          <w:lang w:val="en-US" w:eastAsia="zh-CN"/>
        </w:rPr>
        <w:t>“3.4 配套材料”，三元乙丙防水卷材在施工过程中，在搭接部位使用搭接胶带做密封处理，搭接胶带物理性能满足</w:t>
      </w:r>
      <w:r>
        <w:rPr>
          <w:rFonts w:hint="eastAsia" w:ascii="Times New Roman" w:hAnsi="Times New Roman" w:eastAsia="宋体" w:cs="Times New Roman"/>
          <w:sz w:val="22"/>
          <w:szCs w:val="22"/>
        </w:rPr>
        <w:t>《丁基橡胶防水密封胶粘带》JC/T 942的规定</w:t>
      </w:r>
      <w:r>
        <w:rPr>
          <w:rFonts w:hint="eastAsia" w:ascii="Times New Roman" w:hAnsi="Times New Roman" w:eastAsia="宋体" w:cs="Times New Roman"/>
          <w:sz w:val="22"/>
          <w:szCs w:val="22"/>
          <w:lang w:eastAsia="zh-CN"/>
        </w:rPr>
        <w:t>，保证了使用三元乙丙防水卷材作为防水层的系统可靠性。此外，卷材收口部位的</w:t>
      </w:r>
      <w:r>
        <w:rPr>
          <w:rFonts w:hint="eastAsia" w:ascii="Times New Roman" w:hAnsi="Times New Roman" w:eastAsia="宋体" w:cs="Times New Roman"/>
          <w:sz w:val="22"/>
          <w:szCs w:val="22"/>
        </w:rPr>
        <w:t>密封材料</w:t>
      </w:r>
      <w:r>
        <w:rPr>
          <w:rFonts w:hint="eastAsia" w:ascii="Times New Roman" w:hAnsi="Times New Roman" w:eastAsia="宋体" w:cs="Times New Roman"/>
          <w:sz w:val="22"/>
          <w:szCs w:val="22"/>
          <w:lang w:eastAsia="zh-CN"/>
        </w:rPr>
        <w:t>、自粘泛水材料、粘接法用胶粘剂、出屋面预制件以及隔离层使用的无纺布等规定，都是保证屋面防水层系统可靠性的基础。</w:t>
      </w:r>
    </w:p>
    <w:p>
      <w:pPr>
        <w:spacing w:line="360" w:lineRule="auto"/>
        <w:jc w:val="center"/>
        <w:rPr>
          <w:rFonts w:ascii="黑体" w:hAnsi="黑体" w:eastAsia="黑体"/>
          <w:sz w:val="22"/>
          <w:szCs w:val="22"/>
        </w:rPr>
      </w:pPr>
      <w:r>
        <w:rPr>
          <w:rFonts w:hint="eastAsia" w:ascii="宋体" w:hAnsi="宋体"/>
          <w:b/>
          <w:kern w:val="0"/>
          <w:sz w:val="20"/>
          <w:szCs w:val="20"/>
        </w:rPr>
        <w:t>三元乙丙橡胶（</w:t>
      </w:r>
      <w:r>
        <w:rPr>
          <w:b/>
          <w:kern w:val="0"/>
          <w:sz w:val="20"/>
          <w:szCs w:val="20"/>
        </w:rPr>
        <w:t>EPDM</w:t>
      </w:r>
      <w:r>
        <w:rPr>
          <w:rFonts w:hint="eastAsia" w:ascii="宋体" w:hAnsi="宋体"/>
          <w:b/>
          <w:kern w:val="0"/>
          <w:sz w:val="20"/>
          <w:szCs w:val="20"/>
        </w:rPr>
        <w:t>）防水卷材搭接胶带主要性能指标</w:t>
      </w:r>
    </w:p>
    <w:tbl>
      <w:tblPr>
        <w:tblStyle w:val="24"/>
        <w:tblW w:w="799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196"/>
        <w:gridCol w:w="279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4" w:hRule="atLeast"/>
          <w:jc w:val="center"/>
        </w:trPr>
        <w:tc>
          <w:tcPr>
            <w:tcW w:w="5196" w:type="dxa"/>
            <w:tcBorders>
              <w:top w:val="single" w:color="auto" w:sz="12" w:space="0"/>
              <w:left w:val="single" w:color="auto" w:sz="12" w:space="0"/>
              <w:bottom w:val="single" w:color="auto" w:sz="4" w:space="0"/>
              <w:right w:val="single" w:color="auto" w:sz="4" w:space="0"/>
            </w:tcBorders>
            <w:vAlign w:val="center"/>
          </w:tcPr>
          <w:p>
            <w:pPr>
              <w:widowControl/>
              <w:jc w:val="center"/>
              <w:rPr>
                <w:rFonts w:cs="宋体"/>
                <w:b/>
                <w:bCs/>
                <w:kern w:val="0"/>
                <w:sz w:val="21"/>
                <w:szCs w:val="21"/>
              </w:rPr>
            </w:pPr>
            <w:r>
              <w:rPr>
                <w:rFonts w:hint="eastAsia" w:cs="宋体"/>
                <w:b/>
                <w:bCs/>
                <w:kern w:val="0"/>
                <w:sz w:val="21"/>
                <w:szCs w:val="21"/>
              </w:rPr>
              <w:t>项目</w:t>
            </w:r>
          </w:p>
        </w:tc>
        <w:tc>
          <w:tcPr>
            <w:tcW w:w="2797" w:type="dxa"/>
            <w:tcBorders>
              <w:top w:val="single" w:color="auto" w:sz="12" w:space="0"/>
              <w:left w:val="single" w:color="auto" w:sz="4" w:space="0"/>
              <w:bottom w:val="single" w:color="auto" w:sz="4" w:space="0"/>
              <w:right w:val="single" w:color="auto" w:sz="12" w:space="0"/>
            </w:tcBorders>
            <w:vAlign w:val="center"/>
          </w:tcPr>
          <w:p>
            <w:pPr>
              <w:widowControl/>
              <w:jc w:val="center"/>
              <w:rPr>
                <w:rFonts w:cs="宋体"/>
                <w:b/>
                <w:bCs/>
                <w:kern w:val="0"/>
                <w:sz w:val="21"/>
                <w:szCs w:val="21"/>
              </w:rPr>
            </w:pPr>
            <w:r>
              <w:rPr>
                <w:rFonts w:hint="eastAsia" w:cs="宋体"/>
                <w:b/>
                <w:bCs/>
                <w:kern w:val="0"/>
                <w:sz w:val="21"/>
                <w:szCs w:val="21"/>
              </w:rPr>
              <w:t>性能要求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4" w:hRule="atLeast"/>
          <w:jc w:val="center"/>
        </w:trPr>
        <w:tc>
          <w:tcPr>
            <w:tcW w:w="5196" w:type="dxa"/>
            <w:tcBorders>
              <w:top w:val="single" w:color="auto" w:sz="4" w:space="0"/>
              <w:left w:val="single" w:color="auto" w:sz="12" w:space="0"/>
              <w:bottom w:val="single" w:color="auto" w:sz="4" w:space="0"/>
              <w:right w:val="single" w:color="auto" w:sz="4" w:space="0"/>
            </w:tcBorders>
            <w:vAlign w:val="center"/>
          </w:tcPr>
          <w:p>
            <w:pPr>
              <w:widowControl/>
              <w:jc w:val="center"/>
              <w:rPr>
                <w:rFonts w:cs="宋体"/>
                <w:kern w:val="0"/>
                <w:sz w:val="18"/>
                <w:szCs w:val="18"/>
              </w:rPr>
            </w:pPr>
            <w:r>
              <w:rPr>
                <w:rFonts w:hint="eastAsia" w:cs="宋体"/>
                <w:kern w:val="0"/>
                <w:sz w:val="18"/>
                <w:szCs w:val="18"/>
              </w:rPr>
              <w:t>持粘性（min）</w:t>
            </w:r>
          </w:p>
        </w:tc>
        <w:tc>
          <w:tcPr>
            <w:tcW w:w="2797" w:type="dxa"/>
            <w:tcBorders>
              <w:top w:val="single" w:color="auto" w:sz="4" w:space="0"/>
              <w:left w:val="single" w:color="auto" w:sz="4" w:space="0"/>
              <w:bottom w:val="single" w:color="auto" w:sz="4" w:space="0"/>
              <w:right w:val="single" w:color="auto" w:sz="12" w:space="0"/>
            </w:tcBorders>
            <w:vAlign w:val="center"/>
          </w:tcPr>
          <w:p>
            <w:pPr>
              <w:widowControl/>
              <w:jc w:val="center"/>
              <w:rPr>
                <w:rFonts w:cs="宋体"/>
                <w:kern w:val="0"/>
                <w:sz w:val="18"/>
                <w:szCs w:val="18"/>
              </w:rPr>
            </w:pPr>
            <w:r>
              <w:rPr>
                <w:rFonts w:hint="eastAsia" w:cs="宋体"/>
                <w:kern w:val="0"/>
                <w:sz w:val="18"/>
                <w:szCs w:val="18"/>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4" w:hRule="atLeast"/>
          <w:jc w:val="center"/>
        </w:trPr>
        <w:tc>
          <w:tcPr>
            <w:tcW w:w="5196" w:type="dxa"/>
            <w:tcBorders>
              <w:top w:val="single" w:color="auto" w:sz="4" w:space="0"/>
              <w:left w:val="single" w:color="auto" w:sz="12" w:space="0"/>
              <w:bottom w:val="single" w:color="auto" w:sz="4" w:space="0"/>
              <w:right w:val="single" w:color="auto" w:sz="4" w:space="0"/>
            </w:tcBorders>
            <w:vAlign w:val="center"/>
          </w:tcPr>
          <w:p>
            <w:pPr>
              <w:widowControl/>
              <w:jc w:val="center"/>
              <w:rPr>
                <w:rFonts w:cs="宋体"/>
                <w:kern w:val="0"/>
                <w:sz w:val="18"/>
                <w:szCs w:val="18"/>
              </w:rPr>
            </w:pPr>
            <w:r>
              <w:rPr>
                <w:rFonts w:hint="eastAsia" w:cs="宋体"/>
                <w:kern w:val="0"/>
                <w:sz w:val="18"/>
                <w:szCs w:val="18"/>
              </w:rPr>
              <w:t>耐热性（80℃，2h）</w:t>
            </w:r>
          </w:p>
        </w:tc>
        <w:tc>
          <w:tcPr>
            <w:tcW w:w="2797" w:type="dxa"/>
            <w:tcBorders>
              <w:top w:val="single" w:color="auto" w:sz="4" w:space="0"/>
              <w:left w:val="single" w:color="auto" w:sz="4" w:space="0"/>
              <w:bottom w:val="single" w:color="auto" w:sz="4" w:space="0"/>
              <w:right w:val="single" w:color="auto" w:sz="12" w:space="0"/>
            </w:tcBorders>
            <w:vAlign w:val="center"/>
          </w:tcPr>
          <w:p>
            <w:pPr>
              <w:widowControl/>
              <w:jc w:val="center"/>
              <w:rPr>
                <w:rFonts w:cs="宋体"/>
                <w:kern w:val="0"/>
                <w:sz w:val="18"/>
                <w:szCs w:val="18"/>
              </w:rPr>
            </w:pPr>
            <w:r>
              <w:rPr>
                <w:rFonts w:hint="eastAsia" w:cs="宋体"/>
                <w:kern w:val="0"/>
                <w:sz w:val="18"/>
                <w:szCs w:val="18"/>
              </w:rPr>
              <w:t>无流淌、无龟裂、无变形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4" w:hRule="atLeast"/>
          <w:jc w:val="center"/>
        </w:trPr>
        <w:tc>
          <w:tcPr>
            <w:tcW w:w="5196" w:type="dxa"/>
            <w:tcBorders>
              <w:top w:val="single" w:color="auto" w:sz="4" w:space="0"/>
              <w:left w:val="single" w:color="auto" w:sz="12" w:space="0"/>
              <w:bottom w:val="single" w:color="auto" w:sz="4" w:space="0"/>
              <w:right w:val="single" w:color="auto" w:sz="4" w:space="0"/>
            </w:tcBorders>
            <w:vAlign w:val="center"/>
          </w:tcPr>
          <w:p>
            <w:pPr>
              <w:widowControl/>
              <w:jc w:val="center"/>
              <w:rPr>
                <w:rFonts w:cs="宋体"/>
                <w:kern w:val="0"/>
                <w:sz w:val="18"/>
                <w:szCs w:val="18"/>
              </w:rPr>
            </w:pPr>
            <w:r>
              <w:rPr>
                <w:rFonts w:hint="eastAsia" w:cs="宋体"/>
                <w:kern w:val="0"/>
                <w:sz w:val="18"/>
                <w:szCs w:val="18"/>
              </w:rPr>
              <w:t>低温柔性（℃）</w:t>
            </w:r>
          </w:p>
        </w:tc>
        <w:tc>
          <w:tcPr>
            <w:tcW w:w="2797" w:type="dxa"/>
            <w:tcBorders>
              <w:top w:val="single" w:color="auto" w:sz="4" w:space="0"/>
              <w:left w:val="single" w:color="auto" w:sz="4" w:space="0"/>
              <w:bottom w:val="single" w:color="auto" w:sz="4" w:space="0"/>
              <w:right w:val="single" w:color="auto" w:sz="12" w:space="0"/>
            </w:tcBorders>
            <w:vAlign w:val="center"/>
          </w:tcPr>
          <w:p>
            <w:pPr>
              <w:widowControl/>
              <w:jc w:val="center"/>
              <w:rPr>
                <w:rFonts w:cs="宋体"/>
                <w:kern w:val="0"/>
                <w:sz w:val="18"/>
                <w:szCs w:val="18"/>
              </w:rPr>
            </w:pPr>
            <w:r>
              <w:rPr>
                <w:rFonts w:hint="eastAsia" w:cs="宋体"/>
                <w:kern w:val="0"/>
                <w:sz w:val="18"/>
                <w:szCs w:val="18"/>
              </w:rPr>
              <w:t>- 40，无裂纹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4" w:hRule="atLeast"/>
          <w:jc w:val="center"/>
        </w:trPr>
        <w:tc>
          <w:tcPr>
            <w:tcW w:w="5196" w:type="dxa"/>
            <w:tcBorders>
              <w:top w:val="single" w:color="auto" w:sz="4" w:space="0"/>
              <w:left w:val="single" w:color="auto" w:sz="12" w:space="0"/>
              <w:bottom w:val="single" w:color="auto" w:sz="4" w:space="0"/>
              <w:right w:val="single" w:color="auto" w:sz="4" w:space="0"/>
            </w:tcBorders>
            <w:vAlign w:val="center"/>
          </w:tcPr>
          <w:p>
            <w:pPr>
              <w:widowControl/>
              <w:jc w:val="center"/>
              <w:rPr>
                <w:rFonts w:cs="宋体"/>
                <w:kern w:val="0"/>
                <w:sz w:val="18"/>
                <w:szCs w:val="18"/>
              </w:rPr>
            </w:pPr>
            <w:r>
              <w:rPr>
                <w:rFonts w:hint="eastAsia" w:cs="宋体"/>
                <w:kern w:val="0"/>
                <w:sz w:val="18"/>
                <w:szCs w:val="18"/>
              </w:rPr>
              <w:t>剪切状态下粘合性（卷材）（N/mm）</w:t>
            </w:r>
          </w:p>
        </w:tc>
        <w:tc>
          <w:tcPr>
            <w:tcW w:w="2797" w:type="dxa"/>
            <w:tcBorders>
              <w:top w:val="single" w:color="auto" w:sz="4" w:space="0"/>
              <w:left w:val="single" w:color="auto" w:sz="4" w:space="0"/>
              <w:bottom w:val="single" w:color="auto" w:sz="4" w:space="0"/>
              <w:right w:val="single" w:color="auto" w:sz="12" w:space="0"/>
            </w:tcBorders>
            <w:vAlign w:val="center"/>
          </w:tcPr>
          <w:p>
            <w:pPr>
              <w:widowControl/>
              <w:jc w:val="center"/>
              <w:rPr>
                <w:rFonts w:cs="宋体"/>
                <w:kern w:val="0"/>
                <w:sz w:val="18"/>
                <w:szCs w:val="18"/>
              </w:rPr>
            </w:pPr>
            <w:r>
              <w:rPr>
                <w:rFonts w:hint="eastAsia" w:cs="宋体"/>
                <w:kern w:val="0"/>
                <w:sz w:val="18"/>
                <w:szCs w:val="18"/>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4" w:hRule="atLeast"/>
          <w:jc w:val="center"/>
        </w:trPr>
        <w:tc>
          <w:tcPr>
            <w:tcW w:w="5196" w:type="dxa"/>
            <w:tcBorders>
              <w:top w:val="single" w:color="auto" w:sz="4" w:space="0"/>
              <w:left w:val="single" w:color="auto" w:sz="12" w:space="0"/>
              <w:bottom w:val="single" w:color="auto" w:sz="4" w:space="0"/>
              <w:right w:val="single" w:color="auto" w:sz="4" w:space="0"/>
            </w:tcBorders>
            <w:vAlign w:val="center"/>
          </w:tcPr>
          <w:p>
            <w:pPr>
              <w:widowControl/>
              <w:jc w:val="center"/>
              <w:rPr>
                <w:rFonts w:cs="宋体"/>
                <w:kern w:val="0"/>
                <w:sz w:val="18"/>
                <w:szCs w:val="18"/>
              </w:rPr>
            </w:pPr>
            <w:r>
              <w:rPr>
                <w:rFonts w:hint="eastAsia" w:cs="宋体"/>
                <w:kern w:val="0"/>
                <w:sz w:val="18"/>
                <w:szCs w:val="18"/>
              </w:rPr>
              <w:t>剥离强度（卷材）（N/mm）</w:t>
            </w:r>
          </w:p>
        </w:tc>
        <w:tc>
          <w:tcPr>
            <w:tcW w:w="2797" w:type="dxa"/>
            <w:tcBorders>
              <w:top w:val="single" w:color="auto" w:sz="4" w:space="0"/>
              <w:left w:val="single" w:color="auto" w:sz="4" w:space="0"/>
              <w:bottom w:val="single" w:color="auto" w:sz="4" w:space="0"/>
              <w:right w:val="single" w:color="auto" w:sz="12" w:space="0"/>
            </w:tcBorders>
            <w:vAlign w:val="center"/>
          </w:tcPr>
          <w:p>
            <w:pPr>
              <w:widowControl/>
              <w:jc w:val="center"/>
              <w:rPr>
                <w:rFonts w:cs="宋体"/>
                <w:kern w:val="0"/>
                <w:sz w:val="18"/>
                <w:szCs w:val="18"/>
              </w:rPr>
            </w:pPr>
            <w:r>
              <w:rPr>
                <w:rFonts w:hint="eastAsia" w:cs="宋体"/>
                <w:kern w:val="0"/>
                <w:sz w:val="18"/>
                <w:szCs w:val="18"/>
              </w:rPr>
              <w:t>≥0.5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4" w:hRule="atLeast"/>
          <w:jc w:val="center"/>
        </w:trPr>
        <w:tc>
          <w:tcPr>
            <w:tcW w:w="5196" w:type="dxa"/>
            <w:tcBorders>
              <w:top w:val="single" w:color="auto" w:sz="4" w:space="0"/>
              <w:left w:val="single" w:color="auto" w:sz="12" w:space="0"/>
              <w:bottom w:val="single" w:color="auto" w:sz="12" w:space="0"/>
              <w:right w:val="single" w:color="auto" w:sz="4" w:space="0"/>
            </w:tcBorders>
            <w:vAlign w:val="center"/>
          </w:tcPr>
          <w:p>
            <w:pPr>
              <w:widowControl/>
              <w:jc w:val="center"/>
              <w:rPr>
                <w:rFonts w:cs="宋体"/>
                <w:kern w:val="0"/>
                <w:sz w:val="18"/>
                <w:szCs w:val="18"/>
              </w:rPr>
            </w:pPr>
            <w:r>
              <w:rPr>
                <w:rFonts w:hint="eastAsia" w:cs="宋体"/>
                <w:kern w:val="0"/>
                <w:sz w:val="18"/>
                <w:szCs w:val="18"/>
              </w:rPr>
              <w:t>热处理剥离强度保持率（卷材，80℃，168h）（</w:t>
            </w:r>
            <w:r>
              <w:rPr>
                <w:rFonts w:hint="eastAsia"/>
                <w:kern w:val="0"/>
                <w:sz w:val="18"/>
                <w:szCs w:val="18"/>
              </w:rPr>
              <w:t>%</w:t>
            </w:r>
            <w:r>
              <w:rPr>
                <w:rFonts w:hint="eastAsia" w:cs="宋体"/>
                <w:kern w:val="0"/>
                <w:sz w:val="18"/>
                <w:szCs w:val="18"/>
              </w:rPr>
              <w:t>）</w:t>
            </w:r>
          </w:p>
        </w:tc>
        <w:tc>
          <w:tcPr>
            <w:tcW w:w="2797" w:type="dxa"/>
            <w:tcBorders>
              <w:top w:val="single" w:color="auto" w:sz="4" w:space="0"/>
              <w:left w:val="single" w:color="auto" w:sz="4" w:space="0"/>
              <w:bottom w:val="single" w:color="auto" w:sz="12" w:space="0"/>
              <w:right w:val="single" w:color="auto" w:sz="12" w:space="0"/>
            </w:tcBorders>
            <w:vAlign w:val="center"/>
          </w:tcPr>
          <w:p>
            <w:pPr>
              <w:widowControl/>
              <w:jc w:val="center"/>
              <w:rPr>
                <w:rFonts w:cs="宋体"/>
                <w:kern w:val="0"/>
                <w:sz w:val="18"/>
                <w:szCs w:val="18"/>
              </w:rPr>
            </w:pPr>
            <w:r>
              <w:rPr>
                <w:rFonts w:hint="eastAsia" w:cs="宋体"/>
                <w:kern w:val="0"/>
                <w:sz w:val="18"/>
                <w:szCs w:val="18"/>
              </w:rPr>
              <w:t>≥80</w:t>
            </w:r>
          </w:p>
        </w:tc>
      </w:tr>
    </w:tbl>
    <w:p>
      <w:pPr>
        <w:pStyle w:val="8"/>
        <w:spacing w:line="360" w:lineRule="auto"/>
        <w:ind w:firstLine="440" w:firstLineChars="200"/>
        <w:rPr>
          <w:rFonts w:hint="eastAsia" w:ascii="Times New Roman" w:hAnsi="Times New Roman" w:eastAsia="宋体" w:cs="Times New Roman"/>
          <w:sz w:val="22"/>
          <w:szCs w:val="22"/>
        </w:rPr>
      </w:pPr>
      <w:r>
        <w:rPr>
          <w:rFonts w:hint="eastAsia" w:ascii="Times New Roman" w:hAnsi="Times New Roman" w:eastAsia="宋体" w:cs="Times New Roman"/>
          <w:sz w:val="22"/>
          <w:lang w:val="en-US" w:eastAsia="zh-CN"/>
        </w:rPr>
        <w:t>“3.5 机械固定件”，为了保证防水系统的设计工作年限，</w:t>
      </w:r>
      <w:r>
        <w:rPr>
          <w:rFonts w:hint="eastAsia" w:ascii="Times New Roman" w:hAnsi="Times New Roman" w:eastAsia="宋体" w:cs="Times New Roman"/>
          <w:sz w:val="22"/>
          <w:szCs w:val="22"/>
        </w:rPr>
        <w:t>机械紧固件主要包括固定钉、垫片和压条等，材质有金属和树脂两大类。金属固定件的防腐性能、树脂固定件的耐候性对使用寿命和安全至关重要，应根据屋面等级采用适合的产品。在干燥或低湿度环境下可选用碳钢固定件，一般要通过不少于15个周期（每个周期24小时）的抗酸雨试验（360个小时后，表面腐蚀面积不超过15%）或不少于1000h的抗盐雾试验（1000个小时固定件表面不出现红锈）。本实验方法在JG/T 516-2021 《防水卷材屋面用机械固定件》中有明确规定。抗酸雨试验应按《金属和其他无机覆盖层 通常凝露条件下的二氧化硫腐蚀试验》GB 9789进行，抗盐雾试验应按《人造气氛腐蚀试验 盐雾试验》GB/T 10125进行。</w:t>
      </w:r>
    </w:p>
    <w:p>
      <w:pPr>
        <w:spacing w:line="360" w:lineRule="auto"/>
        <w:jc w:val="center"/>
        <w:rPr>
          <w:rFonts w:ascii="宋体" w:hAnsi="宋体"/>
          <w:b/>
          <w:kern w:val="0"/>
          <w:sz w:val="20"/>
          <w:szCs w:val="20"/>
        </w:rPr>
      </w:pPr>
      <w:r>
        <w:rPr>
          <w:rFonts w:hint="eastAsia" w:ascii="宋体" w:hAnsi="宋体"/>
          <w:b/>
          <w:kern w:val="0"/>
          <w:sz w:val="20"/>
          <w:szCs w:val="20"/>
        </w:rPr>
        <w:t>机械固定件常用规格</w:t>
      </w:r>
    </w:p>
    <w:tbl>
      <w:tblPr>
        <w:tblStyle w:val="24"/>
        <w:tblW w:w="834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74"/>
        <w:gridCol w:w="1664"/>
        <w:gridCol w:w="1268"/>
        <w:gridCol w:w="1105"/>
        <w:gridCol w:w="777"/>
        <w:gridCol w:w="1063"/>
        <w:gridCol w:w="846"/>
        <w:gridCol w:w="8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74" w:type="dxa"/>
            <w:tcBorders>
              <w:tl2br w:val="nil"/>
              <w:tr2bl w:val="nil"/>
            </w:tcBorders>
            <w:vAlign w:val="center"/>
          </w:tcPr>
          <w:p>
            <w:pPr>
              <w:jc w:val="center"/>
              <w:rPr>
                <w:b/>
                <w:bCs/>
                <w:sz w:val="21"/>
                <w:szCs w:val="21"/>
              </w:rPr>
            </w:pPr>
            <w:r>
              <w:rPr>
                <w:rFonts w:hint="eastAsia"/>
                <w:b/>
                <w:bCs/>
                <w:sz w:val="21"/>
                <w:szCs w:val="21"/>
              </w:rPr>
              <w:t>品名</w:t>
            </w:r>
          </w:p>
        </w:tc>
        <w:tc>
          <w:tcPr>
            <w:tcW w:w="1664" w:type="dxa"/>
            <w:tcBorders>
              <w:tl2br w:val="nil"/>
              <w:tr2bl w:val="nil"/>
            </w:tcBorders>
            <w:vAlign w:val="center"/>
          </w:tcPr>
          <w:p>
            <w:pPr>
              <w:jc w:val="center"/>
              <w:rPr>
                <w:b/>
                <w:bCs/>
                <w:sz w:val="21"/>
                <w:szCs w:val="21"/>
              </w:rPr>
            </w:pPr>
            <w:r>
              <w:rPr>
                <w:rFonts w:hint="eastAsia"/>
                <w:b/>
                <w:bCs/>
                <w:sz w:val="21"/>
                <w:szCs w:val="21"/>
              </w:rPr>
              <w:t>用途</w:t>
            </w:r>
          </w:p>
        </w:tc>
        <w:tc>
          <w:tcPr>
            <w:tcW w:w="1268" w:type="dxa"/>
            <w:tcBorders>
              <w:tl2br w:val="nil"/>
              <w:tr2bl w:val="nil"/>
            </w:tcBorders>
            <w:vAlign w:val="center"/>
          </w:tcPr>
          <w:p>
            <w:pPr>
              <w:jc w:val="center"/>
              <w:rPr>
                <w:b/>
                <w:bCs/>
                <w:sz w:val="21"/>
                <w:szCs w:val="21"/>
              </w:rPr>
            </w:pPr>
            <w:r>
              <w:rPr>
                <w:rFonts w:hint="eastAsia"/>
                <w:b/>
                <w:bCs/>
                <w:sz w:val="21"/>
                <w:szCs w:val="21"/>
              </w:rPr>
              <w:t>材质</w:t>
            </w:r>
          </w:p>
        </w:tc>
        <w:tc>
          <w:tcPr>
            <w:tcW w:w="1105" w:type="dxa"/>
            <w:tcBorders>
              <w:tl2br w:val="nil"/>
              <w:tr2bl w:val="nil"/>
            </w:tcBorders>
            <w:vAlign w:val="center"/>
          </w:tcPr>
          <w:p>
            <w:pPr>
              <w:jc w:val="center"/>
              <w:rPr>
                <w:b/>
                <w:bCs/>
                <w:sz w:val="21"/>
                <w:szCs w:val="21"/>
              </w:rPr>
            </w:pPr>
            <w:r>
              <w:rPr>
                <w:rFonts w:hint="eastAsia"/>
                <w:b/>
                <w:bCs/>
                <w:sz w:val="21"/>
                <w:szCs w:val="21"/>
              </w:rPr>
              <w:t>使用环境</w:t>
            </w:r>
          </w:p>
        </w:tc>
        <w:tc>
          <w:tcPr>
            <w:tcW w:w="777" w:type="dxa"/>
            <w:tcBorders>
              <w:tl2br w:val="nil"/>
              <w:tr2bl w:val="nil"/>
            </w:tcBorders>
            <w:vAlign w:val="center"/>
          </w:tcPr>
          <w:p>
            <w:pPr>
              <w:jc w:val="center"/>
              <w:rPr>
                <w:b/>
                <w:bCs/>
                <w:sz w:val="21"/>
                <w:szCs w:val="21"/>
              </w:rPr>
            </w:pPr>
            <w:r>
              <w:rPr>
                <w:rFonts w:hint="eastAsia"/>
                <w:b/>
                <w:bCs/>
                <w:sz w:val="21"/>
                <w:szCs w:val="21"/>
              </w:rPr>
              <w:t>厚度</w:t>
            </w:r>
          </w:p>
          <w:p>
            <w:pPr>
              <w:jc w:val="center"/>
              <w:rPr>
                <w:b/>
                <w:bCs/>
                <w:sz w:val="21"/>
                <w:szCs w:val="21"/>
              </w:rPr>
            </w:pPr>
            <w:r>
              <w:rPr>
                <w:rFonts w:hint="eastAsia"/>
                <w:b/>
                <w:bCs/>
                <w:sz w:val="21"/>
                <w:szCs w:val="21"/>
              </w:rPr>
              <w:t>mm</w:t>
            </w:r>
          </w:p>
        </w:tc>
        <w:tc>
          <w:tcPr>
            <w:tcW w:w="1063" w:type="dxa"/>
            <w:tcBorders>
              <w:tl2br w:val="nil"/>
              <w:tr2bl w:val="nil"/>
            </w:tcBorders>
            <w:vAlign w:val="center"/>
          </w:tcPr>
          <w:p>
            <w:pPr>
              <w:jc w:val="center"/>
              <w:rPr>
                <w:b/>
                <w:bCs/>
                <w:sz w:val="21"/>
                <w:szCs w:val="21"/>
              </w:rPr>
            </w:pPr>
            <w:r>
              <w:rPr>
                <w:rFonts w:hint="eastAsia"/>
                <w:b/>
                <w:bCs/>
                <w:sz w:val="21"/>
                <w:szCs w:val="21"/>
              </w:rPr>
              <w:t>螺纹直径</w:t>
            </w:r>
          </w:p>
          <w:p>
            <w:pPr>
              <w:jc w:val="center"/>
              <w:rPr>
                <w:b/>
                <w:bCs/>
                <w:sz w:val="21"/>
                <w:szCs w:val="21"/>
              </w:rPr>
            </w:pPr>
            <w:r>
              <w:rPr>
                <w:rFonts w:hint="eastAsia"/>
                <w:b/>
                <w:bCs/>
                <w:sz w:val="21"/>
                <w:szCs w:val="21"/>
              </w:rPr>
              <w:t>mm</w:t>
            </w:r>
          </w:p>
        </w:tc>
        <w:tc>
          <w:tcPr>
            <w:tcW w:w="846" w:type="dxa"/>
            <w:tcBorders>
              <w:tl2br w:val="nil"/>
              <w:tr2bl w:val="nil"/>
            </w:tcBorders>
            <w:vAlign w:val="center"/>
          </w:tcPr>
          <w:p>
            <w:pPr>
              <w:jc w:val="center"/>
              <w:rPr>
                <w:b/>
                <w:bCs/>
                <w:sz w:val="21"/>
                <w:szCs w:val="21"/>
              </w:rPr>
            </w:pPr>
            <w:r>
              <w:rPr>
                <w:rFonts w:hint="eastAsia"/>
                <w:b/>
                <w:bCs/>
                <w:sz w:val="21"/>
                <w:szCs w:val="21"/>
              </w:rPr>
              <w:t>长度</w:t>
            </w:r>
          </w:p>
          <w:p>
            <w:pPr>
              <w:jc w:val="center"/>
              <w:rPr>
                <w:b/>
                <w:bCs/>
                <w:sz w:val="21"/>
                <w:szCs w:val="21"/>
              </w:rPr>
            </w:pPr>
            <w:r>
              <w:rPr>
                <w:rFonts w:hint="eastAsia"/>
                <w:b/>
                <w:bCs/>
                <w:sz w:val="21"/>
                <w:szCs w:val="21"/>
              </w:rPr>
              <w:t>mm</w:t>
            </w:r>
          </w:p>
        </w:tc>
        <w:tc>
          <w:tcPr>
            <w:tcW w:w="845" w:type="dxa"/>
            <w:tcBorders>
              <w:tl2br w:val="nil"/>
              <w:tr2bl w:val="nil"/>
            </w:tcBorders>
          </w:tcPr>
          <w:p>
            <w:pPr>
              <w:jc w:val="center"/>
              <w:rPr>
                <w:b/>
                <w:bCs/>
                <w:sz w:val="21"/>
                <w:szCs w:val="21"/>
              </w:rPr>
            </w:pPr>
            <w:r>
              <w:rPr>
                <w:rFonts w:hint="eastAsia"/>
                <w:b/>
                <w:bCs/>
                <w:sz w:val="21"/>
                <w:szCs w:val="21"/>
              </w:rPr>
              <w:t>螺距</w:t>
            </w:r>
          </w:p>
          <w:p>
            <w:pPr>
              <w:jc w:val="center"/>
              <w:rPr>
                <w:b/>
                <w:bCs/>
                <w:sz w:val="21"/>
                <w:szCs w:val="21"/>
              </w:rPr>
            </w:pPr>
            <w:r>
              <w:rPr>
                <w:rFonts w:hint="eastAsia"/>
                <w:b/>
                <w:bCs/>
                <w:sz w:val="21"/>
                <w:szCs w:val="21"/>
              </w:rPr>
              <w:t>m</w:t>
            </w:r>
            <w:r>
              <w:rPr>
                <w:b/>
                <w:bCs/>
                <w:sz w:val="21"/>
                <w:szCs w:val="21"/>
              </w:rPr>
              <w:t>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7" w:hRule="atLeast"/>
          <w:jc w:val="center"/>
        </w:trPr>
        <w:tc>
          <w:tcPr>
            <w:tcW w:w="774" w:type="dxa"/>
            <w:vMerge w:val="restart"/>
            <w:tcBorders>
              <w:tl2br w:val="nil"/>
              <w:tr2bl w:val="nil"/>
            </w:tcBorders>
            <w:vAlign w:val="center"/>
          </w:tcPr>
          <w:p>
            <w:pPr>
              <w:jc w:val="center"/>
              <w:rPr>
                <w:sz w:val="18"/>
                <w:szCs w:val="18"/>
              </w:rPr>
            </w:pPr>
            <w:r>
              <w:rPr>
                <w:rFonts w:hint="eastAsia"/>
                <w:sz w:val="18"/>
                <w:szCs w:val="18"/>
              </w:rPr>
              <w:t>固定钉</w:t>
            </w:r>
          </w:p>
        </w:tc>
        <w:tc>
          <w:tcPr>
            <w:tcW w:w="1664" w:type="dxa"/>
            <w:tcBorders>
              <w:tl2br w:val="nil"/>
              <w:tr2bl w:val="nil"/>
            </w:tcBorders>
            <w:vAlign w:val="center"/>
          </w:tcPr>
          <w:p>
            <w:pPr>
              <w:jc w:val="center"/>
              <w:rPr>
                <w:sz w:val="18"/>
                <w:szCs w:val="18"/>
              </w:rPr>
            </w:pPr>
            <w:r>
              <w:rPr>
                <w:rFonts w:hint="eastAsia"/>
                <w:sz w:val="18"/>
                <w:szCs w:val="18"/>
              </w:rPr>
              <w:t>固定承重层</w:t>
            </w:r>
          </w:p>
        </w:tc>
        <w:tc>
          <w:tcPr>
            <w:tcW w:w="1268" w:type="dxa"/>
            <w:tcBorders>
              <w:tl2br w:val="nil"/>
              <w:tr2bl w:val="nil"/>
            </w:tcBorders>
            <w:vAlign w:val="center"/>
          </w:tcPr>
          <w:p>
            <w:pPr>
              <w:jc w:val="center"/>
              <w:rPr>
                <w:sz w:val="18"/>
                <w:szCs w:val="18"/>
              </w:rPr>
            </w:pPr>
            <w:r>
              <w:rPr>
                <w:rFonts w:hint="eastAsia"/>
                <w:sz w:val="18"/>
                <w:szCs w:val="18"/>
              </w:rPr>
              <w:t>碳钢</w:t>
            </w:r>
          </w:p>
          <w:p>
            <w:pPr>
              <w:jc w:val="center"/>
              <w:rPr>
                <w:sz w:val="18"/>
                <w:szCs w:val="18"/>
              </w:rPr>
            </w:pPr>
            <w:r>
              <w:rPr>
                <w:rFonts w:hint="eastAsia"/>
                <w:sz w:val="18"/>
                <w:szCs w:val="18"/>
              </w:rPr>
              <w:t>不锈钢</w:t>
            </w:r>
          </w:p>
        </w:tc>
        <w:tc>
          <w:tcPr>
            <w:tcW w:w="1105" w:type="dxa"/>
            <w:tcBorders>
              <w:tl2br w:val="nil"/>
              <w:tr2bl w:val="nil"/>
            </w:tcBorders>
            <w:vAlign w:val="center"/>
          </w:tcPr>
          <w:p>
            <w:pPr>
              <w:jc w:val="center"/>
              <w:rPr>
                <w:sz w:val="18"/>
                <w:szCs w:val="18"/>
              </w:rPr>
            </w:pPr>
            <w:r>
              <w:rPr>
                <w:rFonts w:hint="eastAsia"/>
                <w:sz w:val="18"/>
                <w:szCs w:val="18"/>
              </w:rPr>
              <w:t>一般环境</w:t>
            </w:r>
          </w:p>
          <w:p>
            <w:pPr>
              <w:jc w:val="center"/>
              <w:rPr>
                <w:sz w:val="18"/>
                <w:szCs w:val="18"/>
              </w:rPr>
            </w:pPr>
            <w:r>
              <w:rPr>
                <w:rFonts w:hint="eastAsia"/>
                <w:sz w:val="18"/>
                <w:szCs w:val="18"/>
              </w:rPr>
              <w:t>腐蚀环境</w:t>
            </w:r>
          </w:p>
        </w:tc>
        <w:tc>
          <w:tcPr>
            <w:tcW w:w="777" w:type="dxa"/>
            <w:tcBorders>
              <w:tl2br w:val="nil"/>
              <w:tr2bl w:val="nil"/>
            </w:tcBorders>
            <w:vAlign w:val="center"/>
          </w:tcPr>
          <w:p>
            <w:pPr>
              <w:jc w:val="center"/>
              <w:rPr>
                <w:sz w:val="18"/>
                <w:szCs w:val="18"/>
              </w:rPr>
            </w:pPr>
            <w:r>
              <w:rPr>
                <w:rFonts w:hint="eastAsia"/>
                <w:sz w:val="18"/>
                <w:szCs w:val="18"/>
              </w:rPr>
              <w:t>--</w:t>
            </w:r>
          </w:p>
        </w:tc>
        <w:tc>
          <w:tcPr>
            <w:tcW w:w="1063" w:type="dxa"/>
            <w:tcBorders>
              <w:tl2br w:val="nil"/>
              <w:tr2bl w:val="nil"/>
            </w:tcBorders>
            <w:vAlign w:val="center"/>
          </w:tcPr>
          <w:p>
            <w:pPr>
              <w:jc w:val="center"/>
              <w:rPr>
                <w:sz w:val="18"/>
                <w:szCs w:val="18"/>
              </w:rPr>
            </w:pPr>
            <w:r>
              <w:rPr>
                <w:rFonts w:hint="eastAsia"/>
                <w:sz w:val="18"/>
                <w:szCs w:val="18"/>
              </w:rPr>
              <w:t>5.5</w:t>
            </w:r>
          </w:p>
          <w:p>
            <w:pPr>
              <w:jc w:val="center"/>
              <w:rPr>
                <w:sz w:val="18"/>
                <w:szCs w:val="18"/>
              </w:rPr>
            </w:pPr>
            <w:r>
              <w:rPr>
                <w:rFonts w:hint="eastAsia"/>
                <w:sz w:val="18"/>
                <w:szCs w:val="18"/>
              </w:rPr>
              <w:t>6.3</w:t>
            </w:r>
          </w:p>
        </w:tc>
        <w:tc>
          <w:tcPr>
            <w:tcW w:w="846" w:type="dxa"/>
            <w:tcBorders>
              <w:tl2br w:val="nil"/>
              <w:tr2bl w:val="nil"/>
            </w:tcBorders>
            <w:vAlign w:val="center"/>
          </w:tcPr>
          <w:p>
            <w:pPr>
              <w:jc w:val="center"/>
              <w:rPr>
                <w:sz w:val="18"/>
                <w:szCs w:val="18"/>
              </w:rPr>
            </w:pPr>
            <w:r>
              <w:rPr>
                <w:rFonts w:hint="eastAsia"/>
                <w:sz w:val="18"/>
                <w:szCs w:val="18"/>
              </w:rPr>
              <w:t>32～125</w:t>
            </w:r>
          </w:p>
        </w:tc>
        <w:tc>
          <w:tcPr>
            <w:tcW w:w="845" w:type="dxa"/>
            <w:tcBorders>
              <w:tl2br w:val="nil"/>
              <w:tr2bl w:val="nil"/>
            </w:tcBorders>
          </w:tcPr>
          <w:p>
            <w:pPr>
              <w:jc w:val="center"/>
              <w:rPr>
                <w:sz w:val="18"/>
                <w:szCs w:val="18"/>
              </w:rPr>
            </w:pPr>
            <w:r>
              <w:rPr>
                <w:rFonts w:hint="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774" w:type="dxa"/>
            <w:vMerge w:val="continue"/>
            <w:tcBorders>
              <w:tl2br w:val="nil"/>
              <w:tr2bl w:val="nil"/>
            </w:tcBorders>
            <w:vAlign w:val="center"/>
          </w:tcPr>
          <w:p>
            <w:pPr>
              <w:jc w:val="center"/>
              <w:rPr>
                <w:sz w:val="18"/>
                <w:szCs w:val="18"/>
              </w:rPr>
            </w:pPr>
          </w:p>
        </w:tc>
        <w:tc>
          <w:tcPr>
            <w:tcW w:w="1664" w:type="dxa"/>
            <w:tcBorders>
              <w:tl2br w:val="nil"/>
              <w:tr2bl w:val="nil"/>
            </w:tcBorders>
            <w:vAlign w:val="center"/>
          </w:tcPr>
          <w:p>
            <w:pPr>
              <w:jc w:val="center"/>
              <w:rPr>
                <w:sz w:val="18"/>
                <w:szCs w:val="18"/>
              </w:rPr>
            </w:pPr>
            <w:r>
              <w:rPr>
                <w:rFonts w:hint="eastAsia"/>
                <w:sz w:val="18"/>
                <w:szCs w:val="18"/>
              </w:rPr>
              <w:t>固定系统（保温隔热层、覆盖层、防水层）</w:t>
            </w:r>
          </w:p>
        </w:tc>
        <w:tc>
          <w:tcPr>
            <w:tcW w:w="1268" w:type="dxa"/>
            <w:tcBorders>
              <w:tl2br w:val="nil"/>
              <w:tr2bl w:val="nil"/>
            </w:tcBorders>
            <w:vAlign w:val="center"/>
          </w:tcPr>
          <w:p>
            <w:pPr>
              <w:jc w:val="center"/>
              <w:rPr>
                <w:sz w:val="18"/>
                <w:szCs w:val="18"/>
              </w:rPr>
            </w:pPr>
            <w:r>
              <w:rPr>
                <w:rFonts w:hint="eastAsia"/>
                <w:sz w:val="18"/>
                <w:szCs w:val="18"/>
              </w:rPr>
              <w:t>碳钢</w:t>
            </w:r>
          </w:p>
          <w:p>
            <w:pPr>
              <w:jc w:val="center"/>
              <w:rPr>
                <w:sz w:val="18"/>
                <w:szCs w:val="18"/>
              </w:rPr>
            </w:pPr>
            <w:r>
              <w:rPr>
                <w:rFonts w:hint="eastAsia"/>
                <w:sz w:val="18"/>
                <w:szCs w:val="18"/>
              </w:rPr>
              <w:t>不锈钢</w:t>
            </w:r>
          </w:p>
        </w:tc>
        <w:tc>
          <w:tcPr>
            <w:tcW w:w="1105" w:type="dxa"/>
            <w:tcBorders>
              <w:tl2br w:val="nil"/>
              <w:tr2bl w:val="nil"/>
            </w:tcBorders>
            <w:vAlign w:val="center"/>
          </w:tcPr>
          <w:p>
            <w:pPr>
              <w:jc w:val="center"/>
              <w:rPr>
                <w:sz w:val="18"/>
                <w:szCs w:val="18"/>
              </w:rPr>
            </w:pPr>
            <w:r>
              <w:rPr>
                <w:rFonts w:hint="eastAsia"/>
                <w:sz w:val="18"/>
                <w:szCs w:val="18"/>
              </w:rPr>
              <w:t>一般环境</w:t>
            </w:r>
          </w:p>
          <w:p>
            <w:pPr>
              <w:jc w:val="center"/>
              <w:rPr>
                <w:sz w:val="18"/>
                <w:szCs w:val="18"/>
              </w:rPr>
            </w:pPr>
            <w:r>
              <w:rPr>
                <w:rFonts w:hint="eastAsia"/>
                <w:sz w:val="18"/>
                <w:szCs w:val="18"/>
              </w:rPr>
              <w:t>腐蚀环境</w:t>
            </w:r>
          </w:p>
        </w:tc>
        <w:tc>
          <w:tcPr>
            <w:tcW w:w="777" w:type="dxa"/>
            <w:tcBorders>
              <w:tl2br w:val="nil"/>
              <w:tr2bl w:val="nil"/>
            </w:tcBorders>
            <w:vAlign w:val="center"/>
          </w:tcPr>
          <w:p>
            <w:pPr>
              <w:jc w:val="center"/>
              <w:rPr>
                <w:sz w:val="18"/>
                <w:szCs w:val="18"/>
              </w:rPr>
            </w:pPr>
            <w:r>
              <w:rPr>
                <w:rFonts w:hint="eastAsia"/>
                <w:sz w:val="18"/>
                <w:szCs w:val="18"/>
              </w:rPr>
              <w:t>--</w:t>
            </w:r>
          </w:p>
        </w:tc>
        <w:tc>
          <w:tcPr>
            <w:tcW w:w="1063" w:type="dxa"/>
            <w:tcBorders>
              <w:tl2br w:val="nil"/>
              <w:tr2bl w:val="nil"/>
            </w:tcBorders>
            <w:vAlign w:val="center"/>
          </w:tcPr>
          <w:p>
            <w:pPr>
              <w:jc w:val="center"/>
              <w:rPr>
                <w:sz w:val="18"/>
                <w:szCs w:val="18"/>
              </w:rPr>
            </w:pPr>
            <w:r>
              <w:rPr>
                <w:rFonts w:hint="eastAsia"/>
                <w:sz w:val="18"/>
                <w:szCs w:val="18"/>
              </w:rPr>
              <w:t>4.8</w:t>
            </w:r>
          </w:p>
          <w:p>
            <w:pPr>
              <w:jc w:val="center"/>
              <w:rPr>
                <w:sz w:val="18"/>
                <w:szCs w:val="18"/>
              </w:rPr>
            </w:pPr>
            <w:r>
              <w:rPr>
                <w:rFonts w:hint="eastAsia"/>
                <w:sz w:val="18"/>
                <w:szCs w:val="18"/>
              </w:rPr>
              <w:t>5.5</w:t>
            </w:r>
          </w:p>
          <w:p>
            <w:pPr>
              <w:jc w:val="center"/>
              <w:rPr>
                <w:sz w:val="18"/>
                <w:szCs w:val="18"/>
              </w:rPr>
            </w:pPr>
            <w:r>
              <w:rPr>
                <w:rFonts w:hint="eastAsia"/>
                <w:sz w:val="18"/>
                <w:szCs w:val="18"/>
              </w:rPr>
              <w:t>6.3</w:t>
            </w:r>
          </w:p>
        </w:tc>
        <w:tc>
          <w:tcPr>
            <w:tcW w:w="846" w:type="dxa"/>
            <w:tcBorders>
              <w:tl2br w:val="nil"/>
              <w:tr2bl w:val="nil"/>
            </w:tcBorders>
            <w:vAlign w:val="center"/>
          </w:tcPr>
          <w:p>
            <w:pPr>
              <w:jc w:val="center"/>
              <w:rPr>
                <w:sz w:val="18"/>
                <w:szCs w:val="18"/>
              </w:rPr>
            </w:pPr>
            <w:r>
              <w:rPr>
                <w:rFonts w:hint="eastAsia"/>
                <w:sz w:val="18"/>
                <w:szCs w:val="18"/>
              </w:rPr>
              <w:t>5</w:t>
            </w:r>
            <w:r>
              <w:rPr>
                <w:sz w:val="18"/>
                <w:szCs w:val="18"/>
              </w:rPr>
              <w:t>0</w:t>
            </w:r>
            <w:r>
              <w:rPr>
                <w:rFonts w:hint="eastAsia"/>
                <w:sz w:val="18"/>
                <w:szCs w:val="18"/>
              </w:rPr>
              <w:t>、7</w:t>
            </w:r>
            <w:r>
              <w:rPr>
                <w:sz w:val="18"/>
                <w:szCs w:val="18"/>
              </w:rPr>
              <w:t>5</w:t>
            </w:r>
            <w:r>
              <w:rPr>
                <w:rFonts w:hint="eastAsia"/>
                <w:sz w:val="18"/>
                <w:szCs w:val="18"/>
              </w:rPr>
              <w:t>、1</w:t>
            </w:r>
            <w:r>
              <w:rPr>
                <w:sz w:val="18"/>
                <w:szCs w:val="18"/>
              </w:rPr>
              <w:t>00</w:t>
            </w:r>
            <w:r>
              <w:rPr>
                <w:rFonts w:hint="eastAsia"/>
                <w:sz w:val="18"/>
                <w:szCs w:val="18"/>
              </w:rPr>
              <w:t>、1</w:t>
            </w:r>
            <w:r>
              <w:rPr>
                <w:sz w:val="18"/>
                <w:szCs w:val="18"/>
              </w:rPr>
              <w:t>25</w:t>
            </w:r>
          </w:p>
        </w:tc>
        <w:tc>
          <w:tcPr>
            <w:tcW w:w="845" w:type="dxa"/>
            <w:tcBorders>
              <w:tl2br w:val="nil"/>
              <w:tr2bl w:val="nil"/>
            </w:tcBorders>
          </w:tcPr>
          <w:p>
            <w:pPr>
              <w:jc w:val="center"/>
              <w:rPr>
                <w:sz w:val="18"/>
                <w:szCs w:val="18"/>
              </w:rPr>
            </w:pPr>
            <w:r>
              <w:rPr>
                <w:rFonts w:hint="eastAsia"/>
                <w:sz w:val="18"/>
                <w:szCs w:val="18"/>
              </w:rPr>
              <w:t>1</w:t>
            </w:r>
            <w:r>
              <w:rPr>
                <w:sz w:val="18"/>
                <w:szCs w:val="18"/>
              </w:rPr>
              <w:t>.60</w:t>
            </w:r>
            <w:r>
              <w:rPr>
                <w:rFonts w:hint="eastAsia"/>
                <w:sz w:val="18"/>
                <w:szCs w:val="18"/>
              </w:rPr>
              <w:t>、1</w:t>
            </w:r>
            <w:r>
              <w:rPr>
                <w:sz w:val="18"/>
                <w:szCs w:val="18"/>
              </w:rPr>
              <w:t>.80</w:t>
            </w:r>
            <w:r>
              <w:rPr>
                <w:rFonts w:hint="eastAsia"/>
                <w:sz w:val="18"/>
                <w:szCs w:val="18"/>
              </w:rPr>
              <w:t>、1</w:t>
            </w:r>
            <w:r>
              <w:rPr>
                <w:sz w:val="18"/>
                <w:szCs w:val="18"/>
              </w:rPr>
              <w:t>.95</w:t>
            </w:r>
            <w:r>
              <w:rPr>
                <w:rFonts w:hint="eastAsia"/>
                <w:sz w:val="18"/>
                <w:szCs w:val="18"/>
              </w:rPr>
              <w:t>、2</w:t>
            </w:r>
            <w:r>
              <w:rPr>
                <w:sz w:val="18"/>
                <w:szCs w:val="18"/>
              </w:rPr>
              <w:t>.00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774" w:type="dxa"/>
            <w:vMerge w:val="restart"/>
            <w:tcBorders>
              <w:tl2br w:val="nil"/>
              <w:tr2bl w:val="nil"/>
            </w:tcBorders>
            <w:vAlign w:val="center"/>
          </w:tcPr>
          <w:p>
            <w:pPr>
              <w:jc w:val="center"/>
              <w:rPr>
                <w:sz w:val="18"/>
                <w:szCs w:val="18"/>
              </w:rPr>
            </w:pPr>
            <w:r>
              <w:rPr>
                <w:rFonts w:hint="eastAsia"/>
                <w:sz w:val="18"/>
                <w:szCs w:val="18"/>
              </w:rPr>
              <w:t>垫片</w:t>
            </w:r>
          </w:p>
        </w:tc>
        <w:tc>
          <w:tcPr>
            <w:tcW w:w="1664" w:type="dxa"/>
            <w:tcBorders>
              <w:tl2br w:val="nil"/>
              <w:tr2bl w:val="nil"/>
            </w:tcBorders>
            <w:vAlign w:val="center"/>
          </w:tcPr>
          <w:p>
            <w:pPr>
              <w:jc w:val="center"/>
              <w:rPr>
                <w:sz w:val="18"/>
                <w:szCs w:val="18"/>
              </w:rPr>
            </w:pPr>
            <w:r>
              <w:rPr>
                <w:rFonts w:hint="eastAsia"/>
                <w:sz w:val="18"/>
                <w:szCs w:val="18"/>
              </w:rPr>
              <w:t>固定防水卷材</w:t>
            </w:r>
          </w:p>
        </w:tc>
        <w:tc>
          <w:tcPr>
            <w:tcW w:w="1268" w:type="dxa"/>
            <w:vMerge w:val="restart"/>
            <w:tcBorders>
              <w:tl2br w:val="nil"/>
              <w:tr2bl w:val="nil"/>
            </w:tcBorders>
            <w:vAlign w:val="center"/>
          </w:tcPr>
          <w:p>
            <w:pPr>
              <w:jc w:val="center"/>
              <w:rPr>
                <w:sz w:val="18"/>
                <w:szCs w:val="18"/>
              </w:rPr>
            </w:pPr>
            <w:r>
              <w:rPr>
                <w:rFonts w:hint="eastAsia"/>
                <w:sz w:val="18"/>
                <w:szCs w:val="18"/>
              </w:rPr>
              <w:t>塑料、镀锌钢板、镀铝锌钢板、不锈钢</w:t>
            </w:r>
          </w:p>
        </w:tc>
        <w:tc>
          <w:tcPr>
            <w:tcW w:w="1105" w:type="dxa"/>
            <w:vMerge w:val="restart"/>
            <w:tcBorders>
              <w:tl2br w:val="nil"/>
              <w:tr2bl w:val="nil"/>
            </w:tcBorders>
            <w:vAlign w:val="center"/>
          </w:tcPr>
          <w:p>
            <w:pPr>
              <w:jc w:val="center"/>
              <w:rPr>
                <w:sz w:val="18"/>
                <w:szCs w:val="18"/>
              </w:rPr>
            </w:pPr>
            <w:r>
              <w:rPr>
                <w:rFonts w:hint="eastAsia"/>
                <w:sz w:val="18"/>
                <w:szCs w:val="18"/>
              </w:rPr>
              <w:t>有穿孔机械固定法</w:t>
            </w:r>
          </w:p>
        </w:tc>
        <w:tc>
          <w:tcPr>
            <w:tcW w:w="777" w:type="dxa"/>
            <w:vMerge w:val="restart"/>
            <w:tcBorders>
              <w:tl2br w:val="nil"/>
              <w:tr2bl w:val="nil"/>
            </w:tcBorders>
            <w:vAlign w:val="center"/>
          </w:tcPr>
          <w:p>
            <w:pPr>
              <w:jc w:val="center"/>
              <w:rPr>
                <w:sz w:val="18"/>
                <w:szCs w:val="18"/>
              </w:rPr>
            </w:pPr>
            <w:r>
              <w:rPr>
                <w:rFonts w:hint="eastAsia"/>
                <w:sz w:val="18"/>
                <w:szCs w:val="18"/>
              </w:rPr>
              <w:t>0</w:t>
            </w:r>
            <w:r>
              <w:rPr>
                <w:sz w:val="18"/>
                <w:szCs w:val="18"/>
              </w:rPr>
              <w:t>.8</w:t>
            </w:r>
          </w:p>
          <w:p>
            <w:pPr>
              <w:jc w:val="center"/>
              <w:rPr>
                <w:sz w:val="18"/>
                <w:szCs w:val="18"/>
              </w:rPr>
            </w:pPr>
            <w:r>
              <w:rPr>
                <w:rFonts w:hint="eastAsia"/>
                <w:sz w:val="18"/>
                <w:szCs w:val="18"/>
              </w:rPr>
              <w:t>1.0</w:t>
            </w:r>
          </w:p>
        </w:tc>
        <w:tc>
          <w:tcPr>
            <w:tcW w:w="1063" w:type="dxa"/>
            <w:vMerge w:val="restart"/>
            <w:tcBorders>
              <w:tl2br w:val="nil"/>
              <w:tr2bl w:val="nil"/>
            </w:tcBorders>
            <w:vAlign w:val="center"/>
          </w:tcPr>
          <w:p>
            <w:pPr>
              <w:jc w:val="center"/>
              <w:rPr>
                <w:sz w:val="18"/>
                <w:szCs w:val="18"/>
              </w:rPr>
            </w:pPr>
            <w:r>
              <w:rPr>
                <w:rFonts w:hint="eastAsia"/>
                <w:sz w:val="18"/>
                <w:szCs w:val="18"/>
              </w:rPr>
              <w:t>-</w:t>
            </w:r>
          </w:p>
        </w:tc>
        <w:tc>
          <w:tcPr>
            <w:tcW w:w="846" w:type="dxa"/>
            <w:tcBorders>
              <w:tl2br w:val="nil"/>
              <w:tr2bl w:val="nil"/>
            </w:tcBorders>
            <w:vAlign w:val="center"/>
          </w:tcPr>
          <w:p>
            <w:pPr>
              <w:jc w:val="center"/>
              <w:rPr>
                <w:sz w:val="18"/>
                <w:szCs w:val="18"/>
              </w:rPr>
            </w:pPr>
            <w:r>
              <w:rPr>
                <w:rFonts w:hint="eastAsia"/>
                <w:sz w:val="18"/>
                <w:szCs w:val="18"/>
              </w:rPr>
              <w:t>82x40</w:t>
            </w:r>
          </w:p>
        </w:tc>
        <w:tc>
          <w:tcPr>
            <w:tcW w:w="845" w:type="dxa"/>
            <w:vMerge w:val="restart"/>
            <w:tcBorders>
              <w:tl2br w:val="nil"/>
              <w:tr2bl w:val="nil"/>
            </w:tcBorders>
          </w:tcPr>
          <w:p>
            <w:pPr>
              <w:jc w:val="center"/>
              <w:rPr>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74" w:type="dxa"/>
            <w:vMerge w:val="continue"/>
            <w:tcBorders>
              <w:tl2br w:val="nil"/>
              <w:tr2bl w:val="nil"/>
            </w:tcBorders>
            <w:vAlign w:val="center"/>
          </w:tcPr>
          <w:p>
            <w:pPr>
              <w:jc w:val="center"/>
              <w:rPr>
                <w:sz w:val="18"/>
                <w:szCs w:val="18"/>
              </w:rPr>
            </w:pPr>
          </w:p>
        </w:tc>
        <w:tc>
          <w:tcPr>
            <w:tcW w:w="1664" w:type="dxa"/>
            <w:vMerge w:val="restart"/>
            <w:tcBorders>
              <w:tl2br w:val="nil"/>
              <w:tr2bl w:val="nil"/>
            </w:tcBorders>
            <w:vAlign w:val="center"/>
          </w:tcPr>
          <w:p>
            <w:pPr>
              <w:jc w:val="center"/>
              <w:rPr>
                <w:sz w:val="18"/>
                <w:szCs w:val="18"/>
              </w:rPr>
            </w:pPr>
            <w:r>
              <w:rPr>
                <w:rFonts w:hint="eastAsia"/>
                <w:sz w:val="18"/>
                <w:szCs w:val="18"/>
              </w:rPr>
              <w:t>固定保温隔热板、覆盖板</w:t>
            </w:r>
          </w:p>
        </w:tc>
        <w:tc>
          <w:tcPr>
            <w:tcW w:w="1268" w:type="dxa"/>
            <w:vMerge w:val="continue"/>
            <w:tcBorders>
              <w:tl2br w:val="nil"/>
              <w:tr2bl w:val="nil"/>
            </w:tcBorders>
            <w:vAlign w:val="center"/>
          </w:tcPr>
          <w:p>
            <w:pPr>
              <w:jc w:val="center"/>
              <w:rPr>
                <w:sz w:val="18"/>
                <w:szCs w:val="18"/>
              </w:rPr>
            </w:pPr>
          </w:p>
        </w:tc>
        <w:tc>
          <w:tcPr>
            <w:tcW w:w="1105" w:type="dxa"/>
            <w:vMerge w:val="continue"/>
            <w:tcBorders>
              <w:tl2br w:val="nil"/>
              <w:tr2bl w:val="nil"/>
            </w:tcBorders>
            <w:vAlign w:val="center"/>
          </w:tcPr>
          <w:p>
            <w:pPr>
              <w:jc w:val="center"/>
              <w:rPr>
                <w:sz w:val="18"/>
                <w:szCs w:val="18"/>
              </w:rPr>
            </w:pPr>
          </w:p>
        </w:tc>
        <w:tc>
          <w:tcPr>
            <w:tcW w:w="777" w:type="dxa"/>
            <w:vMerge w:val="continue"/>
            <w:tcBorders>
              <w:tl2br w:val="nil"/>
              <w:tr2bl w:val="nil"/>
            </w:tcBorders>
            <w:vAlign w:val="center"/>
          </w:tcPr>
          <w:p>
            <w:pPr>
              <w:jc w:val="center"/>
              <w:rPr>
                <w:sz w:val="18"/>
                <w:szCs w:val="18"/>
              </w:rPr>
            </w:pPr>
          </w:p>
        </w:tc>
        <w:tc>
          <w:tcPr>
            <w:tcW w:w="1063" w:type="dxa"/>
            <w:vMerge w:val="continue"/>
            <w:tcBorders>
              <w:tl2br w:val="nil"/>
              <w:tr2bl w:val="nil"/>
            </w:tcBorders>
            <w:vAlign w:val="center"/>
          </w:tcPr>
          <w:p>
            <w:pPr>
              <w:jc w:val="center"/>
              <w:rPr>
                <w:sz w:val="18"/>
                <w:szCs w:val="18"/>
              </w:rPr>
            </w:pPr>
          </w:p>
        </w:tc>
        <w:tc>
          <w:tcPr>
            <w:tcW w:w="846" w:type="dxa"/>
            <w:tcBorders>
              <w:tl2br w:val="nil"/>
              <w:tr2bl w:val="nil"/>
            </w:tcBorders>
            <w:vAlign w:val="center"/>
          </w:tcPr>
          <w:p>
            <w:pPr>
              <w:jc w:val="center"/>
              <w:rPr>
                <w:sz w:val="18"/>
                <w:szCs w:val="18"/>
              </w:rPr>
            </w:pPr>
            <w:r>
              <w:rPr>
                <w:rFonts w:hint="eastAsia"/>
                <w:sz w:val="18"/>
                <w:szCs w:val="18"/>
              </w:rPr>
              <w:t>70x70，</w:t>
            </w:r>
            <w:r>
              <w:rPr>
                <w:rFonts w:ascii="Calibri" w:hAnsi="Calibri" w:cs="Calibri"/>
                <w:sz w:val="18"/>
                <w:szCs w:val="18"/>
              </w:rPr>
              <w:t>Ø</w:t>
            </w:r>
            <w:r>
              <w:rPr>
                <w:rFonts w:hint="eastAsia"/>
                <w:sz w:val="18"/>
                <w:szCs w:val="18"/>
              </w:rPr>
              <w:t>60，82x40</w:t>
            </w:r>
          </w:p>
        </w:tc>
        <w:tc>
          <w:tcPr>
            <w:tcW w:w="845" w:type="dxa"/>
            <w:vMerge w:val="continue"/>
            <w:tcBorders>
              <w:tl2br w:val="nil"/>
              <w:tr2bl w:val="nil"/>
            </w:tcBorders>
          </w:tcPr>
          <w:p>
            <w:pPr>
              <w:jc w:val="center"/>
              <w:rPr>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4" w:hRule="atLeast"/>
          <w:jc w:val="center"/>
        </w:trPr>
        <w:tc>
          <w:tcPr>
            <w:tcW w:w="774" w:type="dxa"/>
            <w:vMerge w:val="continue"/>
            <w:tcBorders>
              <w:tl2br w:val="nil"/>
              <w:tr2bl w:val="nil"/>
            </w:tcBorders>
            <w:vAlign w:val="center"/>
          </w:tcPr>
          <w:p>
            <w:pPr>
              <w:jc w:val="center"/>
              <w:rPr>
                <w:sz w:val="18"/>
                <w:szCs w:val="18"/>
              </w:rPr>
            </w:pPr>
          </w:p>
        </w:tc>
        <w:tc>
          <w:tcPr>
            <w:tcW w:w="1664" w:type="dxa"/>
            <w:vMerge w:val="continue"/>
            <w:tcBorders>
              <w:tl2br w:val="nil"/>
              <w:tr2bl w:val="nil"/>
            </w:tcBorders>
            <w:vAlign w:val="center"/>
          </w:tcPr>
          <w:p>
            <w:pPr>
              <w:jc w:val="center"/>
              <w:rPr>
                <w:sz w:val="18"/>
                <w:szCs w:val="18"/>
              </w:rPr>
            </w:pPr>
          </w:p>
        </w:tc>
        <w:tc>
          <w:tcPr>
            <w:tcW w:w="1268" w:type="dxa"/>
            <w:vMerge w:val="continue"/>
            <w:tcBorders>
              <w:tl2br w:val="nil"/>
              <w:tr2bl w:val="nil"/>
            </w:tcBorders>
            <w:vAlign w:val="center"/>
          </w:tcPr>
          <w:p>
            <w:pPr>
              <w:jc w:val="center"/>
              <w:rPr>
                <w:sz w:val="18"/>
                <w:szCs w:val="18"/>
              </w:rPr>
            </w:pPr>
          </w:p>
        </w:tc>
        <w:tc>
          <w:tcPr>
            <w:tcW w:w="1105" w:type="dxa"/>
            <w:tcBorders>
              <w:tl2br w:val="nil"/>
              <w:tr2bl w:val="nil"/>
            </w:tcBorders>
            <w:vAlign w:val="center"/>
          </w:tcPr>
          <w:p>
            <w:pPr>
              <w:jc w:val="center"/>
              <w:rPr>
                <w:sz w:val="18"/>
                <w:szCs w:val="18"/>
              </w:rPr>
            </w:pPr>
            <w:r>
              <w:rPr>
                <w:rFonts w:hint="eastAsia"/>
                <w:sz w:val="18"/>
                <w:szCs w:val="18"/>
              </w:rPr>
              <w:t>无穿孔机械固定法</w:t>
            </w:r>
          </w:p>
        </w:tc>
        <w:tc>
          <w:tcPr>
            <w:tcW w:w="777" w:type="dxa"/>
            <w:vMerge w:val="continue"/>
            <w:tcBorders>
              <w:tl2br w:val="nil"/>
              <w:tr2bl w:val="nil"/>
            </w:tcBorders>
            <w:vAlign w:val="center"/>
          </w:tcPr>
          <w:p>
            <w:pPr>
              <w:jc w:val="center"/>
              <w:rPr>
                <w:sz w:val="18"/>
                <w:szCs w:val="18"/>
              </w:rPr>
            </w:pPr>
          </w:p>
        </w:tc>
        <w:tc>
          <w:tcPr>
            <w:tcW w:w="1063" w:type="dxa"/>
            <w:tcBorders>
              <w:tl2br w:val="nil"/>
              <w:tr2bl w:val="nil"/>
            </w:tcBorders>
            <w:vAlign w:val="center"/>
          </w:tcPr>
          <w:p>
            <w:pPr>
              <w:jc w:val="center"/>
              <w:rPr>
                <w:sz w:val="18"/>
                <w:szCs w:val="18"/>
              </w:rPr>
            </w:pPr>
            <w:r>
              <w:rPr>
                <w:rFonts w:ascii="Calibri" w:hAnsi="Calibri" w:cs="Calibri"/>
                <w:sz w:val="18"/>
                <w:szCs w:val="18"/>
              </w:rPr>
              <w:t>≥ Ø</w:t>
            </w:r>
            <w:r>
              <w:rPr>
                <w:rFonts w:hint="eastAsia"/>
                <w:sz w:val="18"/>
                <w:szCs w:val="18"/>
              </w:rPr>
              <w:t>75</w:t>
            </w:r>
          </w:p>
        </w:tc>
        <w:tc>
          <w:tcPr>
            <w:tcW w:w="846" w:type="dxa"/>
            <w:tcBorders>
              <w:tl2br w:val="nil"/>
              <w:tr2bl w:val="nil"/>
            </w:tcBorders>
            <w:vAlign w:val="center"/>
          </w:tcPr>
          <w:p>
            <w:pPr>
              <w:jc w:val="center"/>
              <w:rPr>
                <w:sz w:val="18"/>
                <w:szCs w:val="18"/>
              </w:rPr>
            </w:pPr>
            <w:r>
              <w:rPr>
                <w:rFonts w:hint="eastAsia"/>
                <w:sz w:val="18"/>
                <w:szCs w:val="18"/>
              </w:rPr>
              <w:t>-</w:t>
            </w:r>
          </w:p>
        </w:tc>
        <w:tc>
          <w:tcPr>
            <w:tcW w:w="845" w:type="dxa"/>
            <w:vMerge w:val="continue"/>
            <w:tcBorders>
              <w:tl2br w:val="nil"/>
              <w:tr2bl w:val="nil"/>
            </w:tcBorders>
          </w:tcPr>
          <w:p>
            <w:pPr>
              <w:jc w:val="center"/>
              <w:rPr>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774" w:type="dxa"/>
            <w:tcBorders>
              <w:tl2br w:val="nil"/>
              <w:tr2bl w:val="nil"/>
            </w:tcBorders>
            <w:vAlign w:val="center"/>
          </w:tcPr>
          <w:p>
            <w:pPr>
              <w:jc w:val="center"/>
              <w:rPr>
                <w:sz w:val="18"/>
                <w:szCs w:val="18"/>
              </w:rPr>
            </w:pPr>
            <w:r>
              <w:rPr>
                <w:rFonts w:hint="eastAsia"/>
                <w:sz w:val="18"/>
                <w:szCs w:val="18"/>
              </w:rPr>
              <w:t>套管</w:t>
            </w:r>
          </w:p>
        </w:tc>
        <w:tc>
          <w:tcPr>
            <w:tcW w:w="1664" w:type="dxa"/>
            <w:tcBorders>
              <w:tl2br w:val="nil"/>
              <w:tr2bl w:val="nil"/>
            </w:tcBorders>
            <w:vAlign w:val="center"/>
          </w:tcPr>
          <w:p>
            <w:pPr>
              <w:jc w:val="center"/>
              <w:rPr>
                <w:sz w:val="18"/>
                <w:szCs w:val="18"/>
              </w:rPr>
            </w:pPr>
            <w:r>
              <w:rPr>
                <w:rFonts w:hint="eastAsia"/>
                <w:sz w:val="18"/>
                <w:szCs w:val="18"/>
              </w:rPr>
              <w:t>固定软质保温层</w:t>
            </w:r>
          </w:p>
        </w:tc>
        <w:tc>
          <w:tcPr>
            <w:tcW w:w="1268" w:type="dxa"/>
            <w:tcBorders>
              <w:tl2br w:val="nil"/>
              <w:tr2bl w:val="nil"/>
            </w:tcBorders>
            <w:vAlign w:val="center"/>
          </w:tcPr>
          <w:p>
            <w:pPr>
              <w:jc w:val="center"/>
              <w:rPr>
                <w:sz w:val="18"/>
                <w:szCs w:val="18"/>
              </w:rPr>
            </w:pPr>
            <w:r>
              <w:rPr>
                <w:rFonts w:hint="eastAsia"/>
                <w:sz w:val="18"/>
                <w:szCs w:val="18"/>
              </w:rPr>
              <w:t>聚乙烯、聚丙烯、尼龙</w:t>
            </w:r>
          </w:p>
        </w:tc>
        <w:tc>
          <w:tcPr>
            <w:tcW w:w="1105" w:type="dxa"/>
            <w:tcBorders>
              <w:tl2br w:val="nil"/>
              <w:tr2bl w:val="nil"/>
            </w:tcBorders>
            <w:vAlign w:val="center"/>
          </w:tcPr>
          <w:p>
            <w:pPr>
              <w:jc w:val="center"/>
              <w:rPr>
                <w:sz w:val="18"/>
                <w:szCs w:val="18"/>
              </w:rPr>
            </w:pPr>
            <w:r>
              <w:rPr>
                <w:rFonts w:hint="eastAsia"/>
                <w:sz w:val="18"/>
                <w:szCs w:val="18"/>
              </w:rPr>
              <w:t>--</w:t>
            </w:r>
          </w:p>
        </w:tc>
        <w:tc>
          <w:tcPr>
            <w:tcW w:w="777" w:type="dxa"/>
            <w:tcBorders>
              <w:tl2br w:val="nil"/>
              <w:tr2bl w:val="nil"/>
            </w:tcBorders>
            <w:vAlign w:val="center"/>
          </w:tcPr>
          <w:p>
            <w:pPr>
              <w:jc w:val="center"/>
              <w:rPr>
                <w:sz w:val="18"/>
                <w:szCs w:val="18"/>
              </w:rPr>
            </w:pPr>
            <w:r>
              <w:rPr>
                <w:rFonts w:hint="eastAsia"/>
                <w:sz w:val="18"/>
                <w:szCs w:val="18"/>
              </w:rPr>
              <w:t>--</w:t>
            </w:r>
          </w:p>
        </w:tc>
        <w:tc>
          <w:tcPr>
            <w:tcW w:w="1063" w:type="dxa"/>
            <w:tcBorders>
              <w:tl2br w:val="nil"/>
              <w:tr2bl w:val="nil"/>
            </w:tcBorders>
            <w:vAlign w:val="center"/>
          </w:tcPr>
          <w:p>
            <w:pPr>
              <w:jc w:val="center"/>
              <w:rPr>
                <w:sz w:val="18"/>
                <w:szCs w:val="18"/>
              </w:rPr>
            </w:pPr>
            <w:r>
              <w:rPr>
                <w:rFonts w:hint="eastAsia"/>
                <w:sz w:val="18"/>
                <w:szCs w:val="18"/>
              </w:rPr>
              <w:t>--</w:t>
            </w:r>
          </w:p>
        </w:tc>
        <w:tc>
          <w:tcPr>
            <w:tcW w:w="846" w:type="dxa"/>
            <w:tcBorders>
              <w:tl2br w:val="nil"/>
              <w:tr2bl w:val="nil"/>
            </w:tcBorders>
            <w:vAlign w:val="center"/>
          </w:tcPr>
          <w:p>
            <w:pPr>
              <w:jc w:val="center"/>
              <w:rPr>
                <w:sz w:val="18"/>
                <w:szCs w:val="18"/>
              </w:rPr>
            </w:pPr>
            <w:r>
              <w:rPr>
                <w:rFonts w:hint="eastAsia"/>
                <w:sz w:val="18"/>
                <w:szCs w:val="18"/>
              </w:rPr>
              <w:t>3</w:t>
            </w:r>
            <w:r>
              <w:rPr>
                <w:sz w:val="18"/>
                <w:szCs w:val="18"/>
              </w:rPr>
              <w:t>5</w:t>
            </w:r>
            <w:r>
              <w:rPr>
                <w:rFonts w:hint="eastAsia"/>
                <w:sz w:val="18"/>
                <w:szCs w:val="18"/>
              </w:rPr>
              <w:t>、6</w:t>
            </w:r>
            <w:r>
              <w:rPr>
                <w:sz w:val="18"/>
                <w:szCs w:val="18"/>
              </w:rPr>
              <w:t>5</w:t>
            </w:r>
            <w:r>
              <w:rPr>
                <w:rFonts w:hint="eastAsia"/>
                <w:sz w:val="18"/>
                <w:szCs w:val="18"/>
              </w:rPr>
              <w:t>、8</w:t>
            </w:r>
            <w:r>
              <w:rPr>
                <w:sz w:val="18"/>
                <w:szCs w:val="18"/>
              </w:rPr>
              <w:t>5</w:t>
            </w:r>
            <w:r>
              <w:rPr>
                <w:rFonts w:hint="eastAsia"/>
                <w:sz w:val="18"/>
                <w:szCs w:val="18"/>
              </w:rPr>
              <w:t>、1</w:t>
            </w:r>
            <w:r>
              <w:rPr>
                <w:sz w:val="18"/>
                <w:szCs w:val="18"/>
              </w:rPr>
              <w:t>25</w:t>
            </w:r>
          </w:p>
        </w:tc>
        <w:tc>
          <w:tcPr>
            <w:tcW w:w="845" w:type="dxa"/>
            <w:tcBorders>
              <w:tl2br w:val="nil"/>
              <w:tr2bl w:val="nil"/>
            </w:tcBorders>
            <w:vAlign w:val="center"/>
          </w:tcPr>
          <w:p>
            <w:pPr>
              <w:jc w:val="center"/>
              <w:rPr>
                <w:sz w:val="18"/>
                <w:szCs w:val="18"/>
              </w:rPr>
            </w:pPr>
            <w:r>
              <w:rPr>
                <w:rFonts w:hint="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94" w:hRule="atLeast"/>
          <w:jc w:val="center"/>
        </w:trPr>
        <w:tc>
          <w:tcPr>
            <w:tcW w:w="774" w:type="dxa"/>
            <w:tcBorders>
              <w:tl2br w:val="nil"/>
              <w:tr2bl w:val="nil"/>
            </w:tcBorders>
            <w:vAlign w:val="center"/>
          </w:tcPr>
          <w:p>
            <w:pPr>
              <w:jc w:val="center"/>
              <w:rPr>
                <w:sz w:val="18"/>
                <w:szCs w:val="18"/>
              </w:rPr>
            </w:pPr>
            <w:r>
              <w:rPr>
                <w:rFonts w:hint="eastAsia"/>
                <w:sz w:val="18"/>
                <w:szCs w:val="18"/>
              </w:rPr>
              <w:t>压条</w:t>
            </w:r>
          </w:p>
        </w:tc>
        <w:tc>
          <w:tcPr>
            <w:tcW w:w="1664" w:type="dxa"/>
            <w:tcBorders>
              <w:tl2br w:val="nil"/>
              <w:tr2bl w:val="nil"/>
            </w:tcBorders>
            <w:vAlign w:val="center"/>
          </w:tcPr>
          <w:p>
            <w:pPr>
              <w:jc w:val="center"/>
              <w:rPr>
                <w:sz w:val="18"/>
                <w:szCs w:val="18"/>
              </w:rPr>
            </w:pPr>
            <w:r>
              <w:rPr>
                <w:rFonts w:hint="eastAsia"/>
                <w:sz w:val="18"/>
                <w:szCs w:val="18"/>
              </w:rPr>
              <w:t>防水层收口固定、</w:t>
            </w:r>
          </w:p>
          <w:p>
            <w:pPr>
              <w:jc w:val="center"/>
              <w:rPr>
                <w:sz w:val="18"/>
                <w:szCs w:val="18"/>
              </w:rPr>
            </w:pPr>
            <w:r>
              <w:rPr>
                <w:rFonts w:hint="eastAsia"/>
                <w:sz w:val="18"/>
                <w:szCs w:val="18"/>
              </w:rPr>
              <w:t>防水层加强抗风固定</w:t>
            </w:r>
          </w:p>
        </w:tc>
        <w:tc>
          <w:tcPr>
            <w:tcW w:w="1268" w:type="dxa"/>
            <w:tcBorders>
              <w:tl2br w:val="nil"/>
              <w:tr2bl w:val="nil"/>
            </w:tcBorders>
            <w:vAlign w:val="center"/>
          </w:tcPr>
          <w:p>
            <w:pPr>
              <w:jc w:val="center"/>
              <w:rPr>
                <w:sz w:val="18"/>
                <w:szCs w:val="18"/>
              </w:rPr>
            </w:pPr>
            <w:r>
              <w:rPr>
                <w:rFonts w:hint="eastAsia"/>
                <w:sz w:val="18"/>
                <w:szCs w:val="18"/>
              </w:rPr>
              <w:t>镀锌钢板、镀铝锌钢板、铝合金板</w:t>
            </w:r>
          </w:p>
        </w:tc>
        <w:tc>
          <w:tcPr>
            <w:tcW w:w="1105" w:type="dxa"/>
            <w:tcBorders>
              <w:tl2br w:val="nil"/>
              <w:tr2bl w:val="nil"/>
            </w:tcBorders>
            <w:vAlign w:val="center"/>
          </w:tcPr>
          <w:p>
            <w:pPr>
              <w:jc w:val="center"/>
              <w:rPr>
                <w:sz w:val="18"/>
                <w:szCs w:val="18"/>
              </w:rPr>
            </w:pPr>
            <w:r>
              <w:rPr>
                <w:rFonts w:hint="eastAsia"/>
                <w:sz w:val="18"/>
                <w:szCs w:val="18"/>
              </w:rPr>
              <w:t>--</w:t>
            </w:r>
          </w:p>
        </w:tc>
        <w:tc>
          <w:tcPr>
            <w:tcW w:w="777" w:type="dxa"/>
            <w:tcBorders>
              <w:tl2br w:val="nil"/>
              <w:tr2bl w:val="nil"/>
            </w:tcBorders>
            <w:vAlign w:val="center"/>
          </w:tcPr>
          <w:p>
            <w:pPr>
              <w:jc w:val="center"/>
              <w:rPr>
                <w:sz w:val="18"/>
                <w:szCs w:val="18"/>
              </w:rPr>
            </w:pPr>
            <w:r>
              <w:rPr>
                <w:rFonts w:hint="eastAsia"/>
                <w:sz w:val="18"/>
                <w:szCs w:val="18"/>
              </w:rPr>
              <w:t>0</w:t>
            </w:r>
            <w:r>
              <w:rPr>
                <w:sz w:val="18"/>
                <w:szCs w:val="18"/>
              </w:rPr>
              <w:t>.8</w:t>
            </w:r>
            <w:r>
              <w:rPr>
                <w:rFonts w:hint="eastAsia"/>
                <w:sz w:val="18"/>
                <w:szCs w:val="18"/>
              </w:rPr>
              <w:t>、1</w:t>
            </w:r>
            <w:r>
              <w:rPr>
                <w:sz w:val="18"/>
                <w:szCs w:val="18"/>
              </w:rPr>
              <w:t>.0</w:t>
            </w:r>
          </w:p>
        </w:tc>
        <w:tc>
          <w:tcPr>
            <w:tcW w:w="1063" w:type="dxa"/>
            <w:tcBorders>
              <w:tl2br w:val="nil"/>
              <w:tr2bl w:val="nil"/>
            </w:tcBorders>
            <w:vAlign w:val="center"/>
          </w:tcPr>
          <w:p>
            <w:pPr>
              <w:jc w:val="center"/>
              <w:rPr>
                <w:sz w:val="18"/>
                <w:szCs w:val="18"/>
              </w:rPr>
            </w:pPr>
            <w:r>
              <w:rPr>
                <w:rFonts w:hint="eastAsia"/>
                <w:sz w:val="18"/>
                <w:szCs w:val="18"/>
              </w:rPr>
              <w:t>--</w:t>
            </w:r>
          </w:p>
        </w:tc>
        <w:tc>
          <w:tcPr>
            <w:tcW w:w="846" w:type="dxa"/>
            <w:tcBorders>
              <w:tl2br w:val="nil"/>
              <w:tr2bl w:val="nil"/>
            </w:tcBorders>
            <w:vAlign w:val="center"/>
          </w:tcPr>
          <w:p>
            <w:pPr>
              <w:jc w:val="center"/>
              <w:rPr>
                <w:sz w:val="18"/>
                <w:szCs w:val="18"/>
              </w:rPr>
            </w:pPr>
            <w:r>
              <w:rPr>
                <w:rFonts w:hint="eastAsia"/>
                <w:sz w:val="18"/>
                <w:szCs w:val="18"/>
              </w:rPr>
              <w:t>宽度：2</w:t>
            </w:r>
            <w:r>
              <w:rPr>
                <w:sz w:val="18"/>
                <w:szCs w:val="18"/>
              </w:rPr>
              <w:t>5</w:t>
            </w:r>
          </w:p>
        </w:tc>
        <w:tc>
          <w:tcPr>
            <w:tcW w:w="845" w:type="dxa"/>
            <w:tcBorders>
              <w:tl2br w:val="nil"/>
              <w:tr2bl w:val="nil"/>
            </w:tcBorders>
          </w:tcPr>
          <w:p>
            <w:pPr>
              <w:jc w:val="center"/>
              <w:rPr>
                <w:sz w:val="18"/>
                <w:szCs w:val="18"/>
              </w:rPr>
            </w:pPr>
            <w:r>
              <w:rPr>
                <w:rFonts w:hint="eastAsia"/>
                <w:sz w:val="18"/>
                <w:szCs w:val="18"/>
              </w:rPr>
              <w:t>孔间距：5</w:t>
            </w:r>
            <w:r>
              <w:rPr>
                <w:sz w:val="18"/>
                <w:szCs w:val="18"/>
              </w:rPr>
              <w:t>0</w:t>
            </w:r>
          </w:p>
        </w:tc>
      </w:tr>
    </w:tbl>
    <w:p>
      <w:pPr>
        <w:spacing w:line="360" w:lineRule="auto"/>
        <w:ind w:firstLine="431" w:firstLineChars="196"/>
        <w:rPr>
          <w:sz w:val="22"/>
          <w:szCs w:val="22"/>
        </w:rPr>
      </w:pPr>
      <w:r>
        <w:rPr>
          <w:rFonts w:hint="eastAsia"/>
          <w:sz w:val="22"/>
          <w:szCs w:val="22"/>
        </w:rPr>
        <w:t>“</w:t>
      </w:r>
      <w:r>
        <w:rPr>
          <w:rFonts w:hint="eastAsia"/>
          <w:sz w:val="22"/>
          <w:szCs w:val="22"/>
          <w:lang w:val="en-US" w:eastAsia="zh-CN"/>
        </w:rPr>
        <w:t xml:space="preserve">3.7 </w:t>
      </w:r>
      <w:r>
        <w:rPr>
          <w:rFonts w:hint="eastAsia"/>
          <w:sz w:val="22"/>
          <w:szCs w:val="22"/>
        </w:rPr>
        <w:t>施工”中对施工人员资格、进场材料检验、单层卷材屋面基层要求、防水材料搭接要求、防水卷材施工时环境要求、屋面施工时安全消防用电要求、相邻工序交接检验收要求等做出规定。</w:t>
      </w:r>
    </w:p>
    <w:p>
      <w:pPr>
        <w:spacing w:line="360" w:lineRule="auto"/>
        <w:ind w:firstLine="431" w:firstLineChars="196"/>
        <w:rPr>
          <w:sz w:val="22"/>
          <w:szCs w:val="22"/>
        </w:rPr>
      </w:pPr>
      <w:r>
        <w:rPr>
          <w:rFonts w:hint="eastAsia"/>
          <w:sz w:val="22"/>
          <w:szCs w:val="22"/>
          <w:lang w:eastAsia="zh-CN"/>
        </w:rPr>
        <w:t>“</w:t>
      </w:r>
      <w:r>
        <w:rPr>
          <w:rFonts w:hint="eastAsia"/>
          <w:sz w:val="22"/>
          <w:szCs w:val="22"/>
          <w:lang w:val="en-US" w:eastAsia="zh-CN"/>
        </w:rPr>
        <w:t xml:space="preserve">3.7.2 </w:t>
      </w:r>
      <w:r>
        <w:rPr>
          <w:rFonts w:hint="eastAsia"/>
          <w:sz w:val="22"/>
          <w:szCs w:val="22"/>
        </w:rPr>
        <w:t>屋面防水工程应由防水专业承包商施工，施工人员应进行专业培训，并考核合格后上岗。</w:t>
      </w:r>
      <w:r>
        <w:rPr>
          <w:rFonts w:hint="eastAsia"/>
          <w:sz w:val="22"/>
          <w:szCs w:val="22"/>
          <w:lang w:eastAsia="zh-CN"/>
        </w:rPr>
        <w:t>”</w:t>
      </w:r>
      <w:r>
        <w:rPr>
          <w:rFonts w:hint="eastAsia"/>
          <w:sz w:val="22"/>
          <w:szCs w:val="22"/>
        </w:rPr>
        <w:t>单层防水卷材屋面施工中，涉及防水卷材的预铺、施工机具的操作、细部节点部位的特殊处理以及结构层次的设计等，与传统防水卷材的热熔、自粘施工方法有着较大区别，对施工人员的基本要求较高。因此，在单层防水卷材应用于屋面防水工程的发展过程中，专业施工人员的技术要求不断提升，对节点处理、机具操作等有专业要求。</w:t>
      </w:r>
    </w:p>
    <w:p>
      <w:pPr>
        <w:spacing w:line="360" w:lineRule="auto"/>
        <w:ind w:firstLine="431" w:firstLineChars="196"/>
        <w:rPr>
          <w:rFonts w:hint="eastAsia"/>
          <w:sz w:val="22"/>
          <w:szCs w:val="22"/>
          <w:lang w:eastAsia="zh-CN"/>
        </w:rPr>
      </w:pPr>
      <w:r>
        <w:rPr>
          <w:rFonts w:hint="eastAsia"/>
          <w:sz w:val="22"/>
          <w:szCs w:val="22"/>
          <w:lang w:eastAsia="zh-CN"/>
        </w:rPr>
        <w:t>“</w:t>
      </w:r>
      <w:r>
        <w:rPr>
          <w:rFonts w:hint="eastAsia"/>
          <w:sz w:val="22"/>
          <w:szCs w:val="22"/>
          <w:lang w:val="en-US" w:eastAsia="zh-CN"/>
        </w:rPr>
        <w:t>3.7.3~3.7.14 进场准备、基层、防水卷材搭接、环境温度等。</w:t>
      </w:r>
      <w:r>
        <w:rPr>
          <w:rFonts w:hint="eastAsia"/>
          <w:sz w:val="22"/>
          <w:szCs w:val="22"/>
          <w:lang w:eastAsia="zh-CN"/>
        </w:rPr>
        <w:t>”“</w:t>
      </w:r>
      <w:r>
        <w:rPr>
          <w:rFonts w:hint="eastAsia"/>
          <w:sz w:val="22"/>
          <w:szCs w:val="22"/>
          <w:lang w:val="en-US" w:eastAsia="zh-CN"/>
        </w:rPr>
        <w:t>3.7.17~3.7.19 保温层施工、交接工序验收等。</w:t>
      </w:r>
      <w:r>
        <w:rPr>
          <w:rFonts w:hint="eastAsia"/>
          <w:sz w:val="22"/>
          <w:szCs w:val="22"/>
          <w:lang w:eastAsia="zh-CN"/>
        </w:rPr>
        <w:t>”单层防水卷材屋面在工业厂房、大型车站、体育场馆等项目的应用较为普及，同时</w:t>
      </w:r>
      <w:r>
        <w:rPr>
          <w:rFonts w:hint="eastAsia"/>
          <w:sz w:val="22"/>
          <w:szCs w:val="22"/>
        </w:rPr>
        <w:t>《单层防水卷材屋面工程技术规程》JGJ/T 316</w:t>
      </w:r>
      <w:r>
        <w:rPr>
          <w:rFonts w:hint="eastAsia"/>
          <w:sz w:val="22"/>
          <w:szCs w:val="22"/>
          <w:lang w:eastAsia="zh-CN"/>
        </w:rPr>
        <w:t>已成熟推广使用，施工过程中的工序衔接、工艺规范以及施工环境等要求不断完善，有效保证了单层防水卷材屋面的防水施工质量。</w:t>
      </w:r>
    </w:p>
    <w:p>
      <w:pPr>
        <w:spacing w:line="360" w:lineRule="auto"/>
        <w:ind w:firstLine="431" w:firstLineChars="196"/>
        <w:rPr>
          <w:rFonts w:hint="eastAsia"/>
          <w:sz w:val="22"/>
          <w:szCs w:val="22"/>
          <w:lang w:eastAsia="zh-CN"/>
        </w:rPr>
      </w:pPr>
      <w:r>
        <w:rPr>
          <w:rFonts w:hint="eastAsia"/>
          <w:sz w:val="22"/>
          <w:szCs w:val="22"/>
          <w:lang w:eastAsia="zh-CN"/>
        </w:rPr>
        <w:t>“</w:t>
      </w:r>
      <w:r>
        <w:rPr>
          <w:rFonts w:hint="eastAsia"/>
          <w:sz w:val="22"/>
          <w:szCs w:val="22"/>
          <w:lang w:val="en-US" w:eastAsia="zh-CN"/>
        </w:rPr>
        <w:t xml:space="preserve">3.7.15 </w:t>
      </w:r>
      <w:r>
        <w:rPr>
          <w:rFonts w:hint="eastAsia"/>
          <w:sz w:val="22"/>
          <w:szCs w:val="22"/>
        </w:rPr>
        <w:t>防水卷材焊接施工时，应确保焊接设备进气口畅通，无灰尘堵塞。进气口如有聚集的灰尘或异物应使用刷子或压缩空气枪进行清理</w:t>
      </w:r>
      <w:r>
        <w:rPr>
          <w:rFonts w:hint="eastAsia"/>
          <w:sz w:val="22"/>
          <w:szCs w:val="22"/>
          <w:lang w:eastAsia="zh-CN"/>
        </w:rPr>
        <w:t>。”机械固定法施工防水卷材的过程中，主要使用电磁感应焊接设备，以高温熔融胶体材料后达到粘接的目的，长时间操作后，胶体在枪嘴处堆集凝结，影响搭接边的搭接质量，因此需要操作时注意观察，及时清理枪口，保证熔胶后的粘接效果。</w:t>
      </w:r>
    </w:p>
    <w:p>
      <w:pPr>
        <w:spacing w:line="440" w:lineRule="exact"/>
        <w:ind w:right="0" w:rightChars="0" w:firstLine="442" w:firstLineChars="200"/>
        <w:outlineLvl w:val="2"/>
        <w:rPr>
          <w:b/>
          <w:bCs/>
          <w:sz w:val="22"/>
          <w:szCs w:val="22"/>
        </w:rPr>
      </w:pPr>
      <w:r>
        <w:rPr>
          <w:rFonts w:hint="eastAsia"/>
          <w:b/>
          <w:bCs/>
          <w:sz w:val="22"/>
          <w:szCs w:val="22"/>
        </w:rPr>
        <w:t>3.2.6 机械固定法施工</w:t>
      </w:r>
    </w:p>
    <w:p>
      <w:pPr>
        <w:spacing w:line="360" w:lineRule="auto"/>
        <w:ind w:firstLine="431" w:firstLineChars="196"/>
        <w:rPr>
          <w:sz w:val="22"/>
          <w:szCs w:val="22"/>
        </w:rPr>
      </w:pPr>
      <w:r>
        <w:rPr>
          <w:rFonts w:hint="eastAsia"/>
          <w:sz w:val="22"/>
          <w:szCs w:val="22"/>
        </w:rPr>
        <w:t>本章节主要对单层防水卷材屋面采用机械固定施工工艺进行了规定，包含有穿孔机械固定法和无穿孔机械固定法。</w:t>
      </w:r>
    </w:p>
    <w:p>
      <w:pPr>
        <w:spacing w:line="360" w:lineRule="auto"/>
        <w:ind w:firstLine="431" w:firstLineChars="196"/>
        <w:rPr>
          <w:sz w:val="22"/>
          <w:szCs w:val="22"/>
        </w:rPr>
      </w:pPr>
      <w:r>
        <w:rPr>
          <w:rFonts w:hint="eastAsia"/>
          <w:sz w:val="22"/>
          <w:szCs w:val="22"/>
          <w:lang w:eastAsia="zh-CN"/>
        </w:rPr>
        <w:t>“</w:t>
      </w:r>
      <w:r>
        <w:rPr>
          <w:rFonts w:hint="eastAsia"/>
          <w:sz w:val="22"/>
          <w:szCs w:val="22"/>
          <w:lang w:val="en-US" w:eastAsia="zh-CN"/>
        </w:rPr>
        <w:t xml:space="preserve">4.1.1~4.1.2 </w:t>
      </w:r>
      <w:r>
        <w:rPr>
          <w:rFonts w:hint="eastAsia"/>
          <w:sz w:val="22"/>
          <w:szCs w:val="22"/>
        </w:rPr>
        <w:t>机械固定法施工防水卷材</w:t>
      </w:r>
      <w:r>
        <w:rPr>
          <w:rFonts w:hint="eastAsia"/>
          <w:sz w:val="22"/>
          <w:szCs w:val="22"/>
          <w:lang w:eastAsia="zh-CN"/>
        </w:rPr>
        <w:t>。”</w:t>
      </w:r>
      <w:r>
        <w:rPr>
          <w:rFonts w:hint="eastAsia"/>
          <w:sz w:val="22"/>
          <w:szCs w:val="22"/>
        </w:rPr>
        <w:t>目前国内通常在单层防水卷材屋面上对高分子防水卷材采用机械固定法施工的方式，机械固定法施工可采用点式固定或线性固定等方式。线性固定方式主要用于高抗风揭要求和抗风揭增强部位。点式固定方式在屋面系统完成后，点焊位置可能会首先破坏，造成渗漏，因此施工过程中不得采用点焊方式临时固定防水卷材。</w:t>
      </w:r>
    </w:p>
    <w:p>
      <w:pPr>
        <w:spacing w:line="360" w:lineRule="auto"/>
        <w:ind w:firstLine="440" w:firstLineChars="200"/>
        <w:rPr>
          <w:sz w:val="22"/>
          <w:szCs w:val="22"/>
        </w:rPr>
      </w:pPr>
      <w:r>
        <w:rPr>
          <w:rFonts w:hint="eastAsia"/>
          <w:sz w:val="22"/>
          <w:szCs w:val="22"/>
          <w:lang w:eastAsia="zh-CN"/>
        </w:rPr>
        <w:t>“</w:t>
      </w:r>
      <w:r>
        <w:rPr>
          <w:rFonts w:hint="eastAsia"/>
          <w:sz w:val="22"/>
          <w:szCs w:val="22"/>
          <w:lang w:val="en-US" w:eastAsia="zh-CN"/>
        </w:rPr>
        <w:t xml:space="preserve">4.1.3 </w:t>
      </w:r>
      <w:r>
        <w:rPr>
          <w:rFonts w:hint="eastAsia"/>
          <w:sz w:val="22"/>
          <w:szCs w:val="22"/>
        </w:rPr>
        <w:t>绝热材料、不燃覆盖材料施工</w:t>
      </w:r>
      <w:r>
        <w:rPr>
          <w:rFonts w:hint="eastAsia"/>
          <w:sz w:val="22"/>
          <w:szCs w:val="22"/>
          <w:lang w:eastAsia="zh-CN"/>
        </w:rPr>
        <w:t>。”</w:t>
      </w:r>
      <w:r>
        <w:rPr>
          <w:rFonts w:hint="eastAsia"/>
          <w:sz w:val="22"/>
          <w:szCs w:val="22"/>
        </w:rPr>
        <w:t>对单层防水卷材屋面上使用的绝热材料、不燃覆盖材料施工时做出规定，基层应平整、干燥、干净；铺设应紧贴基层、铺平垫稳、拼缝严密、错缝铺设；绝热材料多层铺设时，上下层绝热材料的板缝不应贯穿；采用机械固定方式施工时，固定件规格、布置方式和数量应符合设计要求。并对贯穿固定件的穿透深度做出要求，固定件穿透钢板不应少于20mm，嵌入混凝土基层有效深度不应小于30mm，嵌入木板的有效深度不应小于25mm。该指标在《单层防水卷材屋面工程技术规程》JGJ/T 316</w:t>
      </w:r>
      <w:r>
        <w:rPr>
          <w:rFonts w:hint="eastAsia"/>
          <w:sz w:val="22"/>
          <w:szCs w:val="22"/>
          <w:lang w:eastAsia="zh-CN"/>
        </w:rPr>
        <w:t>中</w:t>
      </w:r>
      <w:r>
        <w:rPr>
          <w:rFonts w:hint="eastAsia"/>
          <w:sz w:val="22"/>
          <w:szCs w:val="22"/>
        </w:rPr>
        <w:t>6.3.3有相关规定。</w:t>
      </w:r>
    </w:p>
    <w:p>
      <w:pPr>
        <w:tabs>
          <w:tab w:val="left" w:pos="6864"/>
        </w:tabs>
        <w:spacing w:line="360" w:lineRule="auto"/>
        <w:ind w:left="0" w:firstLine="440" w:firstLineChars="200"/>
        <w:rPr>
          <w:rFonts w:hint="eastAsia"/>
          <w:sz w:val="22"/>
          <w:szCs w:val="22"/>
          <w:lang w:eastAsia="zh-CN"/>
        </w:rPr>
      </w:pPr>
      <w:r>
        <w:rPr>
          <w:rFonts w:hint="eastAsia"/>
          <w:sz w:val="22"/>
          <w:szCs w:val="22"/>
          <w:lang w:eastAsia="zh-CN"/>
        </w:rPr>
        <w:t>“</w:t>
      </w:r>
      <w:r>
        <w:rPr>
          <w:rFonts w:hint="eastAsia"/>
          <w:sz w:val="22"/>
          <w:szCs w:val="22"/>
          <w:lang w:val="en-US" w:eastAsia="zh-CN"/>
        </w:rPr>
        <w:t xml:space="preserve">4.1.7 </w:t>
      </w:r>
      <w:r>
        <w:rPr>
          <w:rFonts w:hint="eastAsia"/>
          <w:sz w:val="22"/>
          <w:szCs w:val="22"/>
        </w:rPr>
        <w:t>隔离层施工</w:t>
      </w:r>
      <w:r>
        <w:rPr>
          <w:rFonts w:hint="eastAsia"/>
          <w:sz w:val="22"/>
          <w:szCs w:val="22"/>
          <w:lang w:eastAsia="zh-CN"/>
        </w:rPr>
        <w:t>。”</w:t>
      </w:r>
      <w:r>
        <w:rPr>
          <w:rFonts w:hint="eastAsia"/>
          <w:sz w:val="22"/>
          <w:szCs w:val="22"/>
        </w:rPr>
        <w:t>机械固定法施工单层高分子卷材防水层时使用的隔离材料应于防水卷材具有相容性，当防水卷材背覆为无纺布时，可直接铺设。设置隔离层的，将隔离层空铺在基层上，搭接宽度不少于80mm 并进行临时搭接边固定。</w:t>
      </w:r>
      <w:r>
        <w:rPr>
          <w:rFonts w:hint="eastAsia"/>
          <w:sz w:val="22"/>
          <w:szCs w:val="22"/>
          <w:lang w:eastAsia="zh-CN"/>
        </w:rPr>
        <w:t>设置隔离材料，为了避免不相容材料之间的化学反应导致的系统质量损失，保证了单层卷材屋面的系统可靠性。</w:t>
      </w:r>
    </w:p>
    <w:p>
      <w:pPr>
        <w:tabs>
          <w:tab w:val="left" w:pos="6864"/>
        </w:tabs>
        <w:spacing w:line="360" w:lineRule="auto"/>
        <w:ind w:firstLine="440" w:firstLineChars="200"/>
        <w:rPr>
          <w:rFonts w:hint="eastAsia"/>
          <w:sz w:val="22"/>
          <w:szCs w:val="22"/>
          <w:lang w:eastAsia="zh-CN"/>
        </w:rPr>
      </w:pPr>
      <w:r>
        <w:rPr>
          <w:rFonts w:hint="eastAsia"/>
          <w:sz w:val="22"/>
          <w:szCs w:val="22"/>
          <w:lang w:eastAsia="zh-CN"/>
        </w:rPr>
        <w:t>“</w:t>
      </w:r>
      <w:r>
        <w:rPr>
          <w:rFonts w:hint="eastAsia"/>
          <w:sz w:val="22"/>
          <w:szCs w:val="22"/>
          <w:lang w:val="en-US" w:eastAsia="zh-CN"/>
        </w:rPr>
        <w:t xml:space="preserve">4.1.8 </w:t>
      </w:r>
      <w:r>
        <w:rPr>
          <w:rFonts w:hint="eastAsia"/>
          <w:bCs w:val="0"/>
          <w:sz w:val="22"/>
          <w:szCs w:val="22"/>
        </w:rPr>
        <w:t>成品保护</w:t>
      </w:r>
      <w:r>
        <w:rPr>
          <w:rFonts w:hint="eastAsia"/>
          <w:bCs w:val="0"/>
          <w:sz w:val="22"/>
          <w:szCs w:val="22"/>
          <w:lang w:eastAsia="zh-CN"/>
        </w:rPr>
        <w:t>：</w:t>
      </w:r>
      <w:r>
        <w:rPr>
          <w:rFonts w:hint="eastAsia"/>
          <w:sz w:val="22"/>
          <w:szCs w:val="22"/>
        </w:rPr>
        <w:t>在机械固定法中，卷材在施工完毕后，应避免含煤焦油、沥青、苯和油类等与防水卷材不相容的物体与卷材直接接触</w:t>
      </w:r>
      <w:r>
        <w:rPr>
          <w:rFonts w:hint="eastAsia"/>
          <w:sz w:val="22"/>
          <w:szCs w:val="22"/>
          <w:lang w:eastAsia="zh-CN"/>
        </w:rPr>
        <w:t>。”单层防水卷材屋面使用的防水材料，多属于直接暴露使用，材料的外露环境下，受化学物质的影响或作用，会出现一定程度的质量损失，从而出现质量问题。避免不相容物体的直接接触，可以提升防水材料的耐久性能和防水层的工作使用年限。</w:t>
      </w:r>
    </w:p>
    <w:p>
      <w:pPr>
        <w:spacing w:line="360" w:lineRule="auto"/>
        <w:ind w:firstLine="431" w:firstLineChars="196"/>
        <w:rPr>
          <w:sz w:val="22"/>
          <w:szCs w:val="22"/>
        </w:rPr>
      </w:pPr>
      <w:r>
        <w:rPr>
          <w:rFonts w:hint="eastAsia"/>
          <w:sz w:val="22"/>
          <w:szCs w:val="22"/>
        </w:rPr>
        <w:t>机械固定法施工包含有穿孔机械固定和无穿孔机械固定两种。</w:t>
      </w:r>
    </w:p>
    <w:p>
      <w:pPr>
        <w:spacing w:line="360" w:lineRule="auto"/>
        <w:ind w:firstLine="440" w:firstLineChars="200"/>
        <w:rPr>
          <w:sz w:val="22"/>
          <w:szCs w:val="22"/>
        </w:rPr>
      </w:pPr>
      <w:r>
        <w:rPr>
          <w:rFonts w:hint="eastAsia"/>
          <w:sz w:val="22"/>
          <w:szCs w:val="22"/>
          <w:lang w:eastAsia="zh-CN"/>
        </w:rPr>
        <w:t>“</w:t>
      </w:r>
      <w:r>
        <w:rPr>
          <w:rFonts w:hint="eastAsia"/>
          <w:sz w:val="22"/>
          <w:szCs w:val="22"/>
          <w:lang w:val="en-US" w:eastAsia="zh-CN"/>
        </w:rPr>
        <w:t>4.2 有穿孔机械固定</w:t>
      </w:r>
      <w:r>
        <w:rPr>
          <w:rFonts w:hint="eastAsia"/>
          <w:sz w:val="22"/>
          <w:szCs w:val="22"/>
          <w:lang w:eastAsia="zh-CN"/>
        </w:rPr>
        <w:t>”</w:t>
      </w:r>
      <w:r>
        <w:rPr>
          <w:rFonts w:hint="eastAsia"/>
          <w:sz w:val="22"/>
          <w:szCs w:val="22"/>
        </w:rPr>
        <w:t>采用有穿孔机械固定时，应考虑到钢板受力、螺钉固定长度等多种因素，固定件应固定于钢板波峰上。不同紧固件厂家的产品设计和生产制造的差异，不同螺钉穿出或嵌入基层的具体长度或深度，需要根据厂家的产品说明书要求使用。当基层为压型钢板时，钉穿出金属屋面板的长度不应小于20mm；当基层为混凝土时，应先在混凝土基层上钻孔，钻孔深度比螺钉嵌入深度多25mm，螺钉嵌入混凝土的深度不应小于30mm；当基层为木板时，螺钉嵌入木板的深度不应小于25mm。机械固定单层防水卷材屋面系统中，固定件的拉拔力至关重要。因为在风荷载的作用下，屋面的抗风揭的能力是由屋面防水卷材、保温隔热材料、隔汽材料机械固定件和压型钢板等组成的屋面系统共同承担的，其他屋面材料承担的抗风揭力要通过固定件传递给屋面结构。因此，屋面系统抗风荷载设计计算可以用固定件的拉拔力来表示</w:t>
      </w:r>
      <w:r>
        <w:rPr>
          <w:rFonts w:hint="eastAsia"/>
          <w:sz w:val="22"/>
          <w:szCs w:val="22"/>
          <w:lang w:eastAsia="zh-CN"/>
        </w:rPr>
        <w:t>，穿入结构板的深度是拉拔力大小的直接影响因子。</w:t>
      </w:r>
      <w:r>
        <w:rPr>
          <w:rFonts w:hint="eastAsia"/>
          <w:sz w:val="22"/>
          <w:szCs w:val="22"/>
        </w:rPr>
        <w:t xml:space="preserve">该指标在《单层防水卷材屋面工程技术规程》JGJ/T 316-2013 </w:t>
      </w:r>
      <w:r>
        <w:rPr>
          <w:rFonts w:hint="eastAsia"/>
          <w:sz w:val="22"/>
          <w:szCs w:val="22"/>
          <w:lang w:eastAsia="zh-CN"/>
        </w:rPr>
        <w:t>中</w:t>
      </w:r>
      <w:r>
        <w:rPr>
          <w:rFonts w:hint="eastAsia"/>
          <w:sz w:val="22"/>
          <w:szCs w:val="22"/>
        </w:rPr>
        <w:t>6.4.1第2条有相关规定。</w:t>
      </w:r>
    </w:p>
    <w:p>
      <w:pPr>
        <w:spacing w:line="360" w:lineRule="auto"/>
        <w:ind w:firstLine="440" w:firstLineChars="200"/>
        <w:rPr>
          <w:rFonts w:hint="eastAsia"/>
          <w:sz w:val="22"/>
          <w:szCs w:val="22"/>
        </w:rPr>
      </w:pPr>
      <w:r>
        <w:rPr>
          <w:rFonts w:hint="eastAsia"/>
          <w:sz w:val="22"/>
          <w:szCs w:val="22"/>
          <w:lang w:eastAsia="zh-CN"/>
        </w:rPr>
        <w:t>“</w:t>
      </w:r>
      <w:r>
        <w:rPr>
          <w:rFonts w:hint="eastAsia"/>
          <w:sz w:val="22"/>
          <w:szCs w:val="22"/>
          <w:lang w:val="en-US" w:eastAsia="zh-CN"/>
        </w:rPr>
        <w:t>4.2 无穿孔机械固定</w:t>
      </w:r>
      <w:r>
        <w:rPr>
          <w:rFonts w:hint="eastAsia"/>
          <w:sz w:val="22"/>
          <w:szCs w:val="22"/>
          <w:lang w:eastAsia="zh-CN"/>
        </w:rPr>
        <w:t>”</w:t>
      </w:r>
      <w:r>
        <w:rPr>
          <w:rFonts w:hint="eastAsia"/>
          <w:sz w:val="22"/>
          <w:szCs w:val="22"/>
        </w:rPr>
        <w:t>采用无穿孔机械固定时，主要采用电磁焊接机及手持焊机配合的方式，因此在进行大面防水卷材施工前，应取卷材小样进行试焊接步骤，以确定焊接参数与焊接速率。正式焊接时应确保电磁焊接机的电磁焊圈与垫片位置对应准确，按照机器指示音进行焊接及冷却。垫片应依据风荷载设计要求排布，并应放线定位设置，垫片表面涂层应均匀无破损，并与防水卷材具有相容性。无穿孔机械固定法施工的操作人员应经过专业培训，并配有专业工具及质控设备。垫片焊接应由专人操作，并应按照顺序逐一焊接，垫片不应重复焊接和漏焊。</w:t>
      </w:r>
    </w:p>
    <w:p>
      <w:pPr>
        <w:spacing w:line="440" w:lineRule="exact"/>
        <w:ind w:right="0" w:rightChars="0" w:firstLine="442" w:firstLineChars="200"/>
        <w:outlineLvl w:val="2"/>
        <w:rPr>
          <w:b/>
          <w:bCs/>
          <w:sz w:val="22"/>
          <w:szCs w:val="22"/>
        </w:rPr>
      </w:pPr>
      <w:r>
        <w:rPr>
          <w:rFonts w:hint="eastAsia"/>
          <w:b/>
          <w:bCs/>
          <w:sz w:val="22"/>
          <w:szCs w:val="22"/>
        </w:rPr>
        <w:t>3.2.7 粘接法施工</w:t>
      </w:r>
    </w:p>
    <w:p>
      <w:pPr>
        <w:spacing w:line="360" w:lineRule="auto"/>
        <w:ind w:firstLine="431" w:firstLineChars="196"/>
        <w:rPr>
          <w:sz w:val="22"/>
          <w:szCs w:val="22"/>
        </w:rPr>
      </w:pPr>
      <w:r>
        <w:rPr>
          <w:rFonts w:hint="eastAsia"/>
          <w:sz w:val="22"/>
          <w:szCs w:val="22"/>
        </w:rPr>
        <w:t>本章节主要对单层防水卷材屋面采用粘接施工工艺进行了规定，包含粘接材料要求、防水材料要求和施工要求。</w:t>
      </w:r>
    </w:p>
    <w:p>
      <w:pPr>
        <w:spacing w:line="360" w:lineRule="auto"/>
        <w:ind w:firstLine="431" w:firstLineChars="196"/>
        <w:rPr>
          <w:sz w:val="22"/>
          <w:szCs w:val="22"/>
        </w:rPr>
      </w:pPr>
      <w:r>
        <w:rPr>
          <w:rFonts w:hint="eastAsia"/>
          <w:sz w:val="22"/>
          <w:szCs w:val="22"/>
          <w:lang w:eastAsia="zh-CN"/>
        </w:rPr>
        <w:t>“</w:t>
      </w:r>
      <w:r>
        <w:rPr>
          <w:rFonts w:hint="eastAsia"/>
          <w:sz w:val="22"/>
          <w:szCs w:val="22"/>
          <w:lang w:val="en-US" w:eastAsia="zh-CN"/>
        </w:rPr>
        <w:t>5.1 一般规定</w:t>
      </w:r>
      <w:r>
        <w:rPr>
          <w:rFonts w:hint="eastAsia"/>
          <w:sz w:val="22"/>
          <w:szCs w:val="22"/>
          <w:lang w:eastAsia="zh-CN"/>
        </w:rPr>
        <w:t>”</w:t>
      </w:r>
      <w:r>
        <w:rPr>
          <w:rFonts w:hint="eastAsia"/>
          <w:sz w:val="22"/>
          <w:szCs w:val="22"/>
        </w:rPr>
        <w:t>单层高分子防水卷材采用粘接法施工时，防水卷材应根据屋面工程风荷载设计要求确定粘接方式。</w:t>
      </w:r>
      <w:r>
        <w:rPr>
          <w:rFonts w:hint="eastAsia"/>
          <w:sz w:val="22"/>
          <w:szCs w:val="22"/>
          <w:lang w:eastAsia="zh-CN"/>
        </w:rPr>
        <w:t>防水系统成形后，在风力作用下，需要综合考虑粘接的点位与排布，满粘或点粘或条粘的方式，对抗风性能的影响是不同的，因此为了保证屋面防水系统的可靠性，需要合理规划。</w:t>
      </w:r>
      <w:r>
        <w:rPr>
          <w:rFonts w:hint="eastAsia"/>
          <w:sz w:val="22"/>
          <w:szCs w:val="22"/>
        </w:rPr>
        <w:t>粘接法施工的环境温度不低于5℃</w:t>
      </w:r>
      <w:r>
        <w:rPr>
          <w:rFonts w:hint="eastAsia"/>
          <w:sz w:val="22"/>
          <w:szCs w:val="22"/>
          <w:lang w:eastAsia="zh-CN"/>
        </w:rPr>
        <w:t>，是粘接法采用的粘接剂的有效使用环境温度，避免在过高气温或过低气温下影响粘接质量</w:t>
      </w:r>
      <w:r>
        <w:rPr>
          <w:rFonts w:hint="eastAsia"/>
          <w:sz w:val="22"/>
          <w:szCs w:val="22"/>
        </w:rPr>
        <w:t>。在屋面应力集中易开裂部位诸如出屋面构件周边、人孔周边、落水口周边等，宜选用空铺、点粘、条粘或机械固定等施工方法；在坡度大于15%和垂直面上粘贴防水卷材时，宜先机械固定卷材，固定点应密封。</w:t>
      </w:r>
    </w:p>
    <w:p>
      <w:pPr>
        <w:spacing w:line="360" w:lineRule="auto"/>
        <w:ind w:firstLine="431" w:firstLineChars="196"/>
        <w:rPr>
          <w:rFonts w:hint="eastAsia"/>
          <w:sz w:val="22"/>
          <w:szCs w:val="22"/>
        </w:rPr>
      </w:pPr>
      <w:r>
        <w:rPr>
          <w:rFonts w:hint="eastAsia"/>
          <w:sz w:val="22"/>
          <w:szCs w:val="22"/>
          <w:lang w:eastAsia="zh-CN"/>
        </w:rPr>
        <w:t>“</w:t>
      </w:r>
      <w:r>
        <w:rPr>
          <w:rFonts w:hint="eastAsia"/>
          <w:sz w:val="22"/>
          <w:szCs w:val="22"/>
          <w:lang w:val="en-US" w:eastAsia="zh-CN"/>
        </w:rPr>
        <w:t xml:space="preserve">5.2.1 </w:t>
      </w:r>
      <w:r>
        <w:rPr>
          <w:rFonts w:hint="eastAsia"/>
          <w:sz w:val="22"/>
          <w:szCs w:val="22"/>
        </w:rPr>
        <w:t>粘接法施工宜采用背衬型高分子卷材。</w:t>
      </w:r>
      <w:r>
        <w:rPr>
          <w:rFonts w:hint="eastAsia"/>
          <w:sz w:val="22"/>
          <w:szCs w:val="22"/>
          <w:lang w:eastAsia="zh-CN"/>
        </w:rPr>
        <w:t>”</w:t>
      </w:r>
      <w:r>
        <w:rPr>
          <w:rFonts w:hint="eastAsia"/>
          <w:sz w:val="22"/>
          <w:szCs w:val="22"/>
        </w:rPr>
        <w:t>粘接法施工宜采用背衬型高分子卷材，如防水层采用含有增塑剂的聚氯乙烯（PVC）防水卷材时，为避免和粘结剂中的挥发性有机溶剂直接接触，该类卷材在粘结法单层防水卷材屋面系统中应使用带纤维背衬的防水卷材。</w:t>
      </w:r>
    </w:p>
    <w:p>
      <w:pPr>
        <w:spacing w:line="360" w:lineRule="auto"/>
        <w:ind w:firstLine="440" w:firstLineChars="200"/>
        <w:rPr>
          <w:rFonts w:hint="eastAsia"/>
          <w:sz w:val="22"/>
          <w:szCs w:val="22"/>
        </w:rPr>
      </w:pPr>
      <w:r>
        <w:rPr>
          <w:rFonts w:hint="eastAsia"/>
          <w:sz w:val="22"/>
          <w:szCs w:val="22"/>
          <w:lang w:eastAsia="zh-CN"/>
        </w:rPr>
        <w:t>“</w:t>
      </w:r>
      <w:r>
        <w:rPr>
          <w:rFonts w:hint="eastAsia"/>
          <w:sz w:val="22"/>
          <w:szCs w:val="22"/>
          <w:lang w:val="en-US" w:eastAsia="zh-CN"/>
        </w:rPr>
        <w:t xml:space="preserve">5.3.1 </w:t>
      </w:r>
      <w:r>
        <w:rPr>
          <w:rFonts w:hint="eastAsia"/>
          <w:sz w:val="22"/>
          <w:szCs w:val="22"/>
        </w:rPr>
        <w:t>粘结法施工</w:t>
      </w:r>
      <w:r>
        <w:rPr>
          <w:rFonts w:hint="eastAsia"/>
          <w:sz w:val="22"/>
          <w:szCs w:val="22"/>
          <w:lang w:eastAsia="zh-CN"/>
        </w:rPr>
        <w:t>：</w:t>
      </w:r>
      <w:r>
        <w:rPr>
          <w:rFonts w:hint="eastAsia"/>
          <w:sz w:val="22"/>
          <w:szCs w:val="22"/>
        </w:rPr>
        <w:t>采用满粘法施工时，胶粘剂应涂刷均匀、不露底、不堆积</w:t>
      </w:r>
      <w:r>
        <w:rPr>
          <w:rFonts w:hint="eastAsia"/>
          <w:sz w:val="22"/>
          <w:szCs w:val="22"/>
          <w:lang w:eastAsia="zh-CN"/>
        </w:rPr>
        <w:t>。”</w:t>
      </w:r>
      <w:r>
        <w:rPr>
          <w:rFonts w:hint="eastAsia"/>
          <w:sz w:val="22"/>
          <w:szCs w:val="22"/>
        </w:rPr>
        <w:t>满粘粘接法施工的胶粘剂普遍采用单组份溶剂型氯丁胶，施工过程中基层和卷材粘接面均需均匀涂刷胶粘剂，晾置一段时间，手触不粘后将卷材与基层粘接，排气并压实。国内也有采用硅烷改性聚醚防水涂料作为粘接剂的案例，涂料涂刷未固化前即可铺贴防水卷材，初粘力较小，涂胶固化后强度高，应避免在大风天气施工，防止涂料固化前的卷材风揭现象。</w:t>
      </w:r>
    </w:p>
    <w:p>
      <w:pPr>
        <w:spacing w:line="360" w:lineRule="auto"/>
        <w:ind w:firstLine="431" w:firstLineChars="196"/>
        <w:rPr>
          <w:sz w:val="22"/>
          <w:szCs w:val="22"/>
        </w:rPr>
      </w:pPr>
      <w:r>
        <w:rPr>
          <w:rFonts w:hint="eastAsia"/>
          <w:sz w:val="22"/>
          <w:szCs w:val="22"/>
          <w:lang w:eastAsia="zh-CN"/>
        </w:rPr>
        <w:t>“</w:t>
      </w:r>
      <w:r>
        <w:rPr>
          <w:rFonts w:hint="eastAsia"/>
          <w:sz w:val="22"/>
          <w:szCs w:val="22"/>
          <w:lang w:val="en-US" w:eastAsia="zh-CN"/>
        </w:rPr>
        <w:t xml:space="preserve">5.3.2 </w:t>
      </w:r>
      <w:r>
        <w:rPr>
          <w:rFonts w:hint="eastAsia"/>
          <w:sz w:val="22"/>
          <w:szCs w:val="22"/>
        </w:rPr>
        <w:t>条粘高分子防水卷材宜采用双组份聚氨酯发泡胶，防水卷材与基层之间的剥离强度不应低于60N/50mm。</w:t>
      </w:r>
      <w:r>
        <w:rPr>
          <w:rFonts w:hint="eastAsia"/>
          <w:sz w:val="22"/>
          <w:szCs w:val="22"/>
          <w:lang w:eastAsia="zh-CN"/>
        </w:rPr>
        <w:t>”</w:t>
      </w:r>
      <w:r>
        <w:rPr>
          <w:rFonts w:hint="eastAsia"/>
          <w:sz w:val="22"/>
          <w:szCs w:val="22"/>
        </w:rPr>
        <w:t>条粘粘接法施工的施工案例国内并不多见，一般参考欧美施工做法，采用双组份微发泡聚氨酯胶粘剂，近在基层施胶，双组份胶粘剂混合后发泡，待混合后的胶粘剂不再有明显的发泡，手指轻触，胶粘剂不再粘附在手指上，即可铺贴防水卷材，双组份聚氨酯胶粘剂强度增长较慢，应避免在大风天气施工，防止卷材风揭现象。双组份聚氨酯发泡胶未完全固化前强度较低，双组份聚氨酯胶施工14d后防水卷材与基层之间的粘接强度不应低于60N/50mm。</w:t>
      </w:r>
    </w:p>
    <w:p>
      <w:pPr>
        <w:spacing w:line="440" w:lineRule="exact"/>
        <w:ind w:right="0" w:rightChars="0" w:firstLine="442" w:firstLineChars="200"/>
        <w:outlineLvl w:val="2"/>
        <w:rPr>
          <w:b/>
          <w:bCs/>
          <w:sz w:val="22"/>
          <w:szCs w:val="22"/>
        </w:rPr>
      </w:pPr>
      <w:r>
        <w:rPr>
          <w:rFonts w:hint="eastAsia"/>
          <w:b/>
          <w:bCs/>
          <w:sz w:val="22"/>
          <w:szCs w:val="22"/>
        </w:rPr>
        <w:t>3.2.8 压铺法施工</w:t>
      </w:r>
    </w:p>
    <w:p>
      <w:pPr>
        <w:spacing w:line="360" w:lineRule="auto"/>
        <w:ind w:firstLine="431" w:firstLineChars="196"/>
        <w:rPr>
          <w:sz w:val="22"/>
          <w:szCs w:val="22"/>
        </w:rPr>
      </w:pPr>
      <w:r>
        <w:rPr>
          <w:rFonts w:hint="eastAsia"/>
          <w:sz w:val="22"/>
          <w:szCs w:val="22"/>
        </w:rPr>
        <w:t>本章节主要对单层防水卷材屋面采用压铺施工工艺进行了规定，包含压铺材料要求、防水材料要求和施工要求。</w:t>
      </w:r>
    </w:p>
    <w:p>
      <w:pPr>
        <w:spacing w:line="360" w:lineRule="auto"/>
        <w:ind w:firstLine="440" w:firstLineChars="200"/>
        <w:rPr>
          <w:rFonts w:hint="eastAsia"/>
          <w:sz w:val="22"/>
          <w:szCs w:val="22"/>
        </w:rPr>
      </w:pPr>
      <w:r>
        <w:rPr>
          <w:rFonts w:hint="eastAsia"/>
          <w:sz w:val="22"/>
          <w:szCs w:val="22"/>
          <w:lang w:eastAsia="zh-CN"/>
        </w:rPr>
        <w:t>“</w:t>
      </w:r>
      <w:r>
        <w:rPr>
          <w:rFonts w:hint="eastAsia"/>
          <w:sz w:val="22"/>
          <w:szCs w:val="22"/>
          <w:lang w:val="en-US" w:eastAsia="zh-CN"/>
        </w:rPr>
        <w:t>6.1.1~6.1.4</w:t>
      </w:r>
      <w:r>
        <w:rPr>
          <w:rFonts w:hint="eastAsia"/>
          <w:sz w:val="22"/>
          <w:szCs w:val="22"/>
          <w:lang w:eastAsia="zh-CN"/>
        </w:rPr>
        <w:t>”</w:t>
      </w:r>
      <w:r>
        <w:rPr>
          <w:rFonts w:hint="eastAsia"/>
          <w:sz w:val="22"/>
          <w:szCs w:val="22"/>
        </w:rPr>
        <w:t>对采用压铺法施工的单层高分子防水卷材屋面，对压铺材料的类型、压铺材料的荷重要求、隔离材料以及保护材料的要求进行了规定。其中应根据屋面工程风荷载设计要求和建筑结构承载力要求确定压顶荷重，压铺材料的荷重不宜小于设计值的2倍。国内厂家在设计压铺材料荷重时一般参考美国FM的此项规定。</w:t>
      </w:r>
    </w:p>
    <w:p>
      <w:pPr>
        <w:spacing w:line="360" w:lineRule="auto"/>
        <w:ind w:firstLine="440" w:firstLineChars="200"/>
        <w:rPr>
          <w:rFonts w:hint="eastAsia"/>
          <w:sz w:val="22"/>
          <w:szCs w:val="22"/>
        </w:rPr>
      </w:pPr>
      <w:r>
        <w:rPr>
          <w:rFonts w:hint="eastAsia"/>
          <w:sz w:val="22"/>
          <w:szCs w:val="22"/>
          <w:lang w:eastAsia="zh-CN"/>
        </w:rPr>
        <w:t>“</w:t>
      </w:r>
      <w:r>
        <w:rPr>
          <w:rFonts w:hint="eastAsia"/>
          <w:sz w:val="22"/>
          <w:szCs w:val="22"/>
          <w:lang w:val="en-US" w:eastAsia="zh-CN"/>
        </w:rPr>
        <w:t xml:space="preserve">6.1.5 </w:t>
      </w:r>
      <w:r>
        <w:rPr>
          <w:rFonts w:hint="eastAsia"/>
          <w:sz w:val="22"/>
          <w:szCs w:val="22"/>
        </w:rPr>
        <w:t>采用压铺法施工的屋面，坡度不应大于10%。</w:t>
      </w:r>
      <w:r>
        <w:rPr>
          <w:rFonts w:hint="eastAsia"/>
          <w:sz w:val="22"/>
          <w:szCs w:val="22"/>
          <w:lang w:eastAsia="zh-CN"/>
        </w:rPr>
        <w:t>”</w:t>
      </w:r>
      <w:r>
        <w:rPr>
          <w:rFonts w:hint="eastAsia"/>
          <w:sz w:val="22"/>
          <w:szCs w:val="22"/>
        </w:rPr>
        <w:t>对于采用空铺压顶法施工的屋面来说，大型屋面坡度较小，一般在3%左右；小型屋面坡度大，但不超过10%。因此，本条规定坡度不应大于10%。此外，国内的压铺屋面采用卵石</w:t>
      </w:r>
      <w:r>
        <w:rPr>
          <w:rFonts w:hint="eastAsia"/>
          <w:sz w:val="22"/>
          <w:szCs w:val="22"/>
          <w:lang w:eastAsia="zh-CN"/>
        </w:rPr>
        <w:t>做压铺层</w:t>
      </w:r>
      <w:r>
        <w:rPr>
          <w:rFonts w:hint="eastAsia"/>
          <w:sz w:val="22"/>
          <w:szCs w:val="22"/>
        </w:rPr>
        <w:t>的</w:t>
      </w:r>
      <w:r>
        <w:rPr>
          <w:rFonts w:hint="eastAsia"/>
          <w:sz w:val="22"/>
          <w:szCs w:val="22"/>
          <w:lang w:eastAsia="zh-CN"/>
        </w:rPr>
        <w:t>应用</w:t>
      </w:r>
      <w:r>
        <w:rPr>
          <w:rFonts w:hint="eastAsia"/>
          <w:sz w:val="22"/>
          <w:szCs w:val="22"/>
        </w:rPr>
        <w:t>很少，大多采用混凝土砌块，因此，需要规定一个坡度。</w:t>
      </w:r>
    </w:p>
    <w:p>
      <w:pPr>
        <w:spacing w:line="360" w:lineRule="auto"/>
        <w:ind w:firstLine="440" w:firstLineChars="200"/>
        <w:rPr>
          <w:rFonts w:hint="eastAsia"/>
          <w:sz w:val="22"/>
          <w:szCs w:val="22"/>
          <w:lang w:eastAsia="zh-CN"/>
        </w:rPr>
      </w:pPr>
      <w:r>
        <w:rPr>
          <w:rFonts w:hint="eastAsia"/>
          <w:sz w:val="22"/>
          <w:szCs w:val="22"/>
          <w:lang w:eastAsia="zh-CN"/>
        </w:rPr>
        <w:t>“</w:t>
      </w:r>
      <w:r>
        <w:rPr>
          <w:rFonts w:hint="eastAsia"/>
          <w:sz w:val="22"/>
          <w:szCs w:val="22"/>
          <w:lang w:val="en-US" w:eastAsia="zh-CN"/>
        </w:rPr>
        <w:t>6.2 材料要求</w:t>
      </w:r>
      <w:r>
        <w:rPr>
          <w:rFonts w:hint="eastAsia"/>
          <w:sz w:val="22"/>
          <w:szCs w:val="22"/>
          <w:lang w:eastAsia="zh-CN"/>
        </w:rPr>
        <w:t>”</w:t>
      </w:r>
      <w:r>
        <w:rPr>
          <w:rFonts w:hint="eastAsia"/>
          <w:sz w:val="22"/>
          <w:szCs w:val="22"/>
        </w:rPr>
        <w:t>压铺材料可采用卵石，块体材料，容器种植等，不得采用碎石作为压铺材料。</w:t>
      </w:r>
      <w:r>
        <w:rPr>
          <w:rFonts w:hint="eastAsia"/>
          <w:sz w:val="22"/>
          <w:szCs w:val="22"/>
          <w:lang w:eastAsia="zh-CN"/>
        </w:rPr>
        <w:t>实际采用压铺法施工的屋面工程中，较为常见的为砌块材料和容器种植，其次为卵石材料，砌块材料常见为架空隔热屋面中使用，容器种植是大力发展绿色低碳的政策时进行屋面功能性的改善中使用，卵石材料应用不多，目前正在积极推广和使用。碎石的级配不规范，容易在大风气候中出现安全事故或暴雨期间造成排水不畅，为了保证屋面系统的功能性，不得采用碎石做压铺。</w:t>
      </w:r>
    </w:p>
    <w:p>
      <w:pPr>
        <w:spacing w:line="360" w:lineRule="auto"/>
        <w:ind w:firstLine="440" w:firstLineChars="200"/>
        <w:rPr>
          <w:sz w:val="22"/>
          <w:szCs w:val="22"/>
        </w:rPr>
      </w:pPr>
      <w:r>
        <w:rPr>
          <w:rFonts w:hint="eastAsia"/>
          <w:sz w:val="22"/>
          <w:szCs w:val="22"/>
          <w:lang w:eastAsia="zh-CN"/>
        </w:rPr>
        <w:t>“</w:t>
      </w:r>
      <w:r>
        <w:rPr>
          <w:rFonts w:hint="eastAsia"/>
          <w:sz w:val="22"/>
          <w:szCs w:val="22"/>
          <w:lang w:val="en-US" w:eastAsia="zh-CN"/>
        </w:rPr>
        <w:t>6.2.2~6.2.7</w:t>
      </w:r>
      <w:r>
        <w:rPr>
          <w:rFonts w:hint="eastAsia"/>
          <w:sz w:val="22"/>
          <w:szCs w:val="22"/>
          <w:lang w:eastAsia="zh-CN"/>
        </w:rPr>
        <w:t>”</w:t>
      </w:r>
      <w:r>
        <w:rPr>
          <w:rFonts w:hint="eastAsia"/>
          <w:sz w:val="22"/>
          <w:szCs w:val="22"/>
        </w:rPr>
        <w:t>卵石密度不应小于2650kg/m</w:t>
      </w:r>
      <w:r>
        <w:rPr>
          <w:rFonts w:hint="eastAsia"/>
          <w:sz w:val="22"/>
          <w:szCs w:val="22"/>
          <w:vertAlign w:val="superscript"/>
        </w:rPr>
        <w:t>3</w:t>
      </w:r>
      <w:r>
        <w:rPr>
          <w:rFonts w:hint="eastAsia"/>
          <w:sz w:val="22"/>
          <w:szCs w:val="22"/>
        </w:rPr>
        <w:t>；块体材料单位体积质量不应小于1800kg/m</w:t>
      </w:r>
      <w:r>
        <w:rPr>
          <w:rFonts w:hint="eastAsia"/>
          <w:sz w:val="22"/>
          <w:szCs w:val="22"/>
          <w:vertAlign w:val="superscript"/>
        </w:rPr>
        <w:t>3</w:t>
      </w:r>
      <w:r>
        <w:rPr>
          <w:rFonts w:hint="eastAsia"/>
          <w:sz w:val="22"/>
          <w:szCs w:val="22"/>
        </w:rPr>
        <w:t>，厚度不应小于30mm，单块面积不应小于0.1m²；隔离层材料可选用不应少于120g/m</w:t>
      </w:r>
      <w:r>
        <w:rPr>
          <w:rFonts w:hint="eastAsia"/>
          <w:sz w:val="22"/>
          <w:szCs w:val="22"/>
          <w:vertAlign w:val="superscript"/>
        </w:rPr>
        <w:t>2</w:t>
      </w:r>
      <w:r>
        <w:rPr>
          <w:rFonts w:hint="eastAsia"/>
          <w:sz w:val="22"/>
          <w:szCs w:val="22"/>
        </w:rPr>
        <w:t>的无纺布；保护层材料可采用单位质量面积不应少于300g/m</w:t>
      </w:r>
      <w:r>
        <w:rPr>
          <w:rFonts w:hint="eastAsia"/>
          <w:sz w:val="22"/>
          <w:szCs w:val="22"/>
          <w:vertAlign w:val="superscript"/>
        </w:rPr>
        <w:t>2</w:t>
      </w:r>
      <w:r>
        <w:rPr>
          <w:rFonts w:hint="eastAsia"/>
          <w:sz w:val="22"/>
          <w:szCs w:val="22"/>
        </w:rPr>
        <w:t>的无纺布、土工布，保护层可空铺在防水层上，搭接宽度不应小于80mm。该类指标在《单层防水卷材屋面工程技术规程》JGJ/T 316 中4.8~4.9章节内有相关规定。</w:t>
      </w:r>
    </w:p>
    <w:p>
      <w:pPr>
        <w:spacing w:line="360" w:lineRule="auto"/>
        <w:ind w:firstLine="440" w:firstLineChars="200"/>
        <w:rPr>
          <w:rFonts w:hint="eastAsia"/>
          <w:sz w:val="22"/>
          <w:szCs w:val="22"/>
          <w:lang w:eastAsia="zh-CN"/>
        </w:rPr>
      </w:pPr>
      <w:r>
        <w:rPr>
          <w:rFonts w:hint="eastAsia"/>
          <w:sz w:val="22"/>
          <w:szCs w:val="22"/>
          <w:lang w:eastAsia="zh-CN"/>
        </w:rPr>
        <w:t>“</w:t>
      </w:r>
      <w:r>
        <w:rPr>
          <w:rFonts w:hint="eastAsia"/>
          <w:sz w:val="22"/>
          <w:szCs w:val="22"/>
          <w:lang w:val="en-US" w:eastAsia="zh-CN"/>
        </w:rPr>
        <w:t xml:space="preserve">6.3.7 </w:t>
      </w:r>
      <w:r>
        <w:rPr>
          <w:rFonts w:hint="eastAsia"/>
          <w:sz w:val="22"/>
          <w:szCs w:val="22"/>
        </w:rPr>
        <w:t>块体材料、水泥砂浆、细石混凝土压铺层与女儿墙或山墙之间，应预留宽度为30mm 的接缝，缝内宜填塞发泡聚乙烯棒，并应嵌填耐候建筑密封胶。</w:t>
      </w:r>
      <w:r>
        <w:rPr>
          <w:rFonts w:hint="eastAsia"/>
          <w:sz w:val="22"/>
          <w:szCs w:val="22"/>
          <w:lang w:eastAsia="zh-CN"/>
        </w:rPr>
        <w:t>”</w:t>
      </w:r>
      <w:r>
        <w:rPr>
          <w:rFonts w:hint="eastAsia"/>
          <w:sz w:val="22"/>
          <w:szCs w:val="22"/>
        </w:rPr>
        <w:t>在</w:t>
      </w:r>
      <w:r>
        <w:rPr>
          <w:rFonts w:hint="eastAsia"/>
          <w:sz w:val="22"/>
          <w:szCs w:val="22"/>
          <w:lang w:eastAsia="zh-CN"/>
        </w:rPr>
        <w:t>单层防水卷材屋面的</w:t>
      </w:r>
      <w:r>
        <w:rPr>
          <w:rFonts w:hint="eastAsia"/>
          <w:sz w:val="22"/>
          <w:szCs w:val="22"/>
        </w:rPr>
        <w:t>施工过程中，压铺材料层在与女儿墙或山墙之间，应预留宽度为30mm 的接缝，缝内宜填塞发泡聚乙烯棒并应嵌填耐候建筑密封胶</w:t>
      </w:r>
      <w:r>
        <w:rPr>
          <w:rFonts w:hint="eastAsia"/>
          <w:sz w:val="22"/>
          <w:szCs w:val="22"/>
          <w:lang w:eastAsia="zh-CN"/>
        </w:rPr>
        <w:t>，主要起缓冲作用，避免应力作用下造成的系统破坏。</w:t>
      </w:r>
    </w:p>
    <w:p>
      <w:pPr>
        <w:spacing w:line="360" w:lineRule="auto"/>
        <w:ind w:firstLine="440" w:firstLineChars="200"/>
        <w:rPr>
          <w:rFonts w:hint="eastAsia"/>
          <w:sz w:val="22"/>
          <w:szCs w:val="22"/>
          <w:lang w:eastAsia="zh-CN"/>
        </w:rPr>
      </w:pPr>
      <w:r>
        <w:rPr>
          <w:rFonts w:hint="eastAsia"/>
          <w:sz w:val="22"/>
          <w:szCs w:val="22"/>
          <w:lang w:eastAsia="zh-CN"/>
        </w:rPr>
        <w:t>“</w:t>
      </w:r>
      <w:r>
        <w:rPr>
          <w:rFonts w:hint="eastAsia"/>
          <w:sz w:val="22"/>
          <w:szCs w:val="22"/>
          <w:lang w:val="en-US" w:eastAsia="zh-CN"/>
        </w:rPr>
        <w:t xml:space="preserve">6.3.8 </w:t>
      </w:r>
      <w:r>
        <w:rPr>
          <w:rFonts w:hint="eastAsia"/>
          <w:sz w:val="22"/>
          <w:szCs w:val="22"/>
        </w:rPr>
        <w:t xml:space="preserve"> 需经常维护的设施周围和屋面出入口至设施之间的人行道，应铺设块体材料或细石混凝土压铺层。</w:t>
      </w:r>
      <w:r>
        <w:rPr>
          <w:rFonts w:hint="eastAsia"/>
          <w:sz w:val="22"/>
          <w:szCs w:val="22"/>
          <w:lang w:eastAsia="zh-CN"/>
        </w:rPr>
        <w:t>”单层防水卷材屋面属于非功能性屋面，但在实际操作中，屋面会架设较多的设备设施，以保证建筑投用后的正常运行，设置的设施设备有定期维护或长期维护的需要。在屋面出入口与需维护的设备之间设置的人行步道，在外露环境光照、雨雪、风沙等自然条件作用下，其耐久性、耐候性、抗老化性能、抗风揭破坏性能等存在一定的风险，铺设块体材料或细石混凝土压铺层可以保证其耐久性和稳定性。</w:t>
      </w:r>
    </w:p>
    <w:p>
      <w:pPr>
        <w:spacing w:line="440" w:lineRule="exact"/>
        <w:ind w:right="0" w:rightChars="0" w:firstLine="442" w:firstLineChars="200"/>
        <w:outlineLvl w:val="2"/>
        <w:rPr>
          <w:b/>
          <w:bCs/>
          <w:sz w:val="22"/>
          <w:szCs w:val="22"/>
        </w:rPr>
      </w:pPr>
      <w:r>
        <w:rPr>
          <w:rFonts w:hint="eastAsia"/>
          <w:b/>
          <w:bCs/>
          <w:sz w:val="22"/>
          <w:szCs w:val="22"/>
        </w:rPr>
        <w:t>3.2.9 细部构造</w:t>
      </w:r>
    </w:p>
    <w:p>
      <w:pPr>
        <w:spacing w:line="360" w:lineRule="auto"/>
        <w:ind w:firstLine="431" w:firstLineChars="196"/>
        <w:rPr>
          <w:sz w:val="22"/>
          <w:szCs w:val="22"/>
        </w:rPr>
      </w:pPr>
      <w:r>
        <w:rPr>
          <w:rFonts w:hint="eastAsia"/>
          <w:sz w:val="22"/>
          <w:szCs w:val="22"/>
        </w:rPr>
        <w:t>本章节主要对屋面檐口、天沟、女儿墙、变形缝、水落口、出屋面构件、预制件以及安全设施等部位采用不同施工工艺时防水层的做法进行了规定。</w:t>
      </w:r>
    </w:p>
    <w:p>
      <w:pPr>
        <w:spacing w:line="360" w:lineRule="auto"/>
        <w:ind w:firstLine="431" w:firstLineChars="196"/>
        <w:rPr>
          <w:sz w:val="22"/>
          <w:szCs w:val="22"/>
        </w:rPr>
      </w:pPr>
      <w:r>
        <w:rPr>
          <w:rFonts w:hint="eastAsia"/>
          <w:sz w:val="22"/>
          <w:szCs w:val="22"/>
          <w:lang w:eastAsia="zh-CN"/>
        </w:rPr>
        <w:t>“</w:t>
      </w:r>
      <w:r>
        <w:rPr>
          <w:rFonts w:hint="eastAsia"/>
          <w:sz w:val="22"/>
          <w:szCs w:val="22"/>
          <w:lang w:val="en-US" w:eastAsia="zh-CN"/>
        </w:rPr>
        <w:t>7.0.1~7.0.6</w:t>
      </w:r>
      <w:r>
        <w:rPr>
          <w:rFonts w:hint="eastAsia"/>
          <w:sz w:val="22"/>
          <w:szCs w:val="22"/>
          <w:lang w:eastAsia="zh-CN"/>
        </w:rPr>
        <w:t>”</w:t>
      </w:r>
      <w:r>
        <w:rPr>
          <w:rFonts w:hint="eastAsia"/>
          <w:sz w:val="22"/>
          <w:szCs w:val="22"/>
        </w:rPr>
        <w:t>屋面细部构造设计要遵守安全可靠、复合用材、连续密封、局部增强的原则。细部构造主要包括山墙、女儿墙、檐沟、檐口、泛水、水落口、穿出屋面设施等部位。如有特殊施工要求，可按照其要求对节点构造的处理作适当调整。当平面与立面防水卷材采用不同搭接方式时，可根据不同屋面材料供应商对节点构造不同要求进行适当调整。山墙和女儿墙的泛水宜铺设到外墙顶部的边沿，对顶部形成全包，以满足防水要求。</w:t>
      </w:r>
    </w:p>
    <w:p>
      <w:pPr>
        <w:spacing w:line="360" w:lineRule="auto"/>
        <w:ind w:firstLine="431" w:firstLineChars="196"/>
        <w:rPr>
          <w:sz w:val="22"/>
          <w:szCs w:val="22"/>
        </w:rPr>
      </w:pPr>
      <w:r>
        <w:rPr>
          <w:rFonts w:hint="eastAsia"/>
          <w:sz w:val="22"/>
          <w:szCs w:val="22"/>
          <w:lang w:eastAsia="zh-CN"/>
        </w:rPr>
        <w:t>“</w:t>
      </w:r>
      <w:r>
        <w:rPr>
          <w:rFonts w:hint="eastAsia"/>
          <w:sz w:val="22"/>
          <w:szCs w:val="22"/>
          <w:lang w:val="en-US" w:eastAsia="zh-CN"/>
        </w:rPr>
        <w:t>7.0.7~7.0.11</w:t>
      </w:r>
      <w:r>
        <w:rPr>
          <w:rFonts w:hint="eastAsia"/>
          <w:sz w:val="22"/>
          <w:szCs w:val="22"/>
          <w:lang w:eastAsia="zh-CN"/>
        </w:rPr>
        <w:t>”</w:t>
      </w:r>
      <w:r>
        <w:rPr>
          <w:rFonts w:hint="eastAsia"/>
          <w:sz w:val="22"/>
          <w:szCs w:val="22"/>
        </w:rPr>
        <w:t>随着单层防水卷材屋面系统的发展，系统配套的预制件材料也逐渐成熟与完善，在金属板上复合特殊涂层，使金属预制件可直接与单层防水卷材进行焊接，施工便捷，收口处防水效果较好，有条件的工程宜采用配套预制件进行细部节点处理，如避雷支座、走道板、光伏支座、安全锚、装饰杆件支座和穿线管等。预制件采用应与屋面防水层同材质的防水卷材复合，并在施工中与屋面有可靠的连接。</w:t>
      </w:r>
    </w:p>
    <w:p>
      <w:pPr>
        <w:spacing w:line="360" w:lineRule="auto"/>
        <w:ind w:firstLine="431" w:firstLineChars="196"/>
        <w:rPr>
          <w:sz w:val="22"/>
          <w:szCs w:val="22"/>
        </w:rPr>
      </w:pPr>
      <w:r>
        <w:rPr>
          <w:rFonts w:hint="eastAsia"/>
          <w:sz w:val="22"/>
          <w:szCs w:val="22"/>
          <w:lang w:eastAsia="zh-CN"/>
        </w:rPr>
        <w:t>“</w:t>
      </w:r>
      <w:r>
        <w:rPr>
          <w:rFonts w:hint="eastAsia"/>
          <w:sz w:val="22"/>
          <w:szCs w:val="22"/>
          <w:lang w:val="en-US" w:eastAsia="zh-CN"/>
        </w:rPr>
        <w:t>7.0.12</w:t>
      </w:r>
      <w:r>
        <w:rPr>
          <w:rFonts w:hint="eastAsia"/>
          <w:sz w:val="22"/>
          <w:szCs w:val="22"/>
          <w:lang w:eastAsia="zh-CN"/>
        </w:rPr>
        <w:t>”</w:t>
      </w:r>
      <w:r>
        <w:rPr>
          <w:rFonts w:hint="eastAsia"/>
          <w:sz w:val="22"/>
          <w:szCs w:val="22"/>
        </w:rPr>
        <w:t>阴角、阳角、圆形穿出、锥形穿出和方形穿出等部位，宜采用同防水层同材质的预制阴角泛水、阳角泛水、圆形泛水、锥形泛水和方形泛水等预制泛水件进行泛水处理。以保证工程质量，同时节约劳动力，达到提质增效的目的。</w:t>
      </w:r>
    </w:p>
    <w:p>
      <w:pPr>
        <w:spacing w:line="440" w:lineRule="exact"/>
        <w:ind w:right="0" w:rightChars="0" w:firstLine="442" w:firstLineChars="200"/>
        <w:outlineLvl w:val="2"/>
        <w:rPr>
          <w:b/>
          <w:bCs/>
          <w:sz w:val="22"/>
          <w:szCs w:val="22"/>
        </w:rPr>
      </w:pPr>
      <w:r>
        <w:rPr>
          <w:rFonts w:hint="eastAsia"/>
          <w:b/>
          <w:bCs/>
          <w:sz w:val="22"/>
          <w:szCs w:val="22"/>
        </w:rPr>
        <w:t>3.2.10 质量验收</w:t>
      </w:r>
    </w:p>
    <w:p>
      <w:pPr>
        <w:spacing w:line="360" w:lineRule="auto"/>
        <w:ind w:firstLine="431" w:firstLineChars="196"/>
        <w:rPr>
          <w:sz w:val="22"/>
          <w:szCs w:val="22"/>
        </w:rPr>
      </w:pPr>
      <w:r>
        <w:rPr>
          <w:rFonts w:hint="eastAsia"/>
          <w:sz w:val="22"/>
          <w:szCs w:val="22"/>
        </w:rPr>
        <w:t>本章节主要对单层防水卷材屋面防水层、配套、细部等验收进行了规定，同时对验收完成后的维护保养做出了要求。</w:t>
      </w:r>
    </w:p>
    <w:p>
      <w:pPr>
        <w:spacing w:line="360" w:lineRule="auto"/>
        <w:ind w:firstLine="431" w:firstLineChars="196"/>
        <w:rPr>
          <w:sz w:val="22"/>
          <w:szCs w:val="22"/>
        </w:rPr>
      </w:pPr>
      <w:r>
        <w:rPr>
          <w:rFonts w:hint="eastAsia"/>
          <w:sz w:val="22"/>
          <w:szCs w:val="22"/>
          <w:lang w:eastAsia="zh-CN"/>
        </w:rPr>
        <w:t>“</w:t>
      </w:r>
      <w:r>
        <w:rPr>
          <w:rFonts w:hint="eastAsia"/>
          <w:sz w:val="22"/>
          <w:szCs w:val="22"/>
          <w:lang w:val="en-US" w:eastAsia="zh-CN"/>
        </w:rPr>
        <w:t>8.1 一般规定</w:t>
      </w:r>
      <w:r>
        <w:rPr>
          <w:rFonts w:hint="eastAsia"/>
          <w:sz w:val="22"/>
          <w:szCs w:val="22"/>
          <w:lang w:eastAsia="zh-CN"/>
        </w:rPr>
        <w:t>”</w:t>
      </w:r>
      <w:r>
        <w:rPr>
          <w:rFonts w:hint="eastAsia"/>
          <w:sz w:val="22"/>
          <w:szCs w:val="22"/>
        </w:rPr>
        <w:t>防水工程施工质量验收的程序和组织应符合现行国家工程建设质量验收相关标准的规定。单层防水卷材屋面的防水层、压铺层和细部施工完成后，首先在施工人员自查合格的基础上，进行工序间的交接检和专职质量检验员的检查，检查结果应有完整的记录，然后经监理单位或建设单位进行检查验收，并做好验收记录，在上道工序完工验收合格后方可进行下道工序的施工，达到消除质量隐患的目的。</w:t>
      </w:r>
    </w:p>
    <w:p>
      <w:pPr>
        <w:spacing w:line="360" w:lineRule="auto"/>
        <w:ind w:firstLine="431" w:firstLineChars="196"/>
        <w:rPr>
          <w:rFonts w:hint="eastAsia"/>
          <w:sz w:val="22"/>
          <w:szCs w:val="22"/>
        </w:rPr>
      </w:pPr>
      <w:r>
        <w:rPr>
          <w:rFonts w:hint="eastAsia"/>
          <w:sz w:val="22"/>
          <w:szCs w:val="22"/>
          <w:lang w:eastAsia="zh-CN"/>
        </w:rPr>
        <w:t>“</w:t>
      </w:r>
      <w:r>
        <w:rPr>
          <w:rFonts w:hint="eastAsia"/>
          <w:sz w:val="22"/>
          <w:szCs w:val="22"/>
          <w:lang w:val="en-US" w:eastAsia="zh-CN"/>
        </w:rPr>
        <w:t>8.5.1~8.5.6 运行维护、</w:t>
      </w:r>
      <w:r>
        <w:rPr>
          <w:rFonts w:hint="eastAsia"/>
          <w:sz w:val="22"/>
          <w:szCs w:val="22"/>
        </w:rPr>
        <w:t>维护检查及维修</w:t>
      </w:r>
      <w:r>
        <w:rPr>
          <w:rFonts w:hint="eastAsia"/>
          <w:sz w:val="22"/>
          <w:szCs w:val="22"/>
          <w:lang w:eastAsia="zh-CN"/>
        </w:rPr>
        <w:t>”</w:t>
      </w:r>
      <w:r>
        <w:rPr>
          <w:rFonts w:hint="eastAsia"/>
          <w:sz w:val="22"/>
          <w:szCs w:val="22"/>
        </w:rPr>
        <w:t>在屋面工程后期的维护保养中，屋面防水工程在使用过程中会受到光照、雨雪、风沙等自然因素或人为因素影响，可能会发生渗漏、老化甚至风揭破坏等，如不及时进行维护维修会影响到屋面系统的正常使用，甚至减少使用寿命。根据单层防水卷材屋面多年使用情况，使用单位对屋面定期维护维修未引起足够重视，屋面施工单位应提供使用维修说明书，给使用单位提出具体要求，对屋面工程定期进行维护维修，以保证屋面工程的正常使用。运行维护单位应建立防水工程维护管理制度，并定期巡检和维护，检查发现的问题应及时处置，并应对处置情况进行记录。必要时，运行维护单位应建立渗漏应急预案。</w:t>
      </w:r>
    </w:p>
    <w:p>
      <w:pPr>
        <w:spacing w:line="360" w:lineRule="auto"/>
        <w:jc w:val="center"/>
        <w:rPr>
          <w:rFonts w:ascii="宋体" w:hAnsi="宋体"/>
          <w:b/>
          <w:kern w:val="0"/>
          <w:sz w:val="20"/>
          <w:szCs w:val="20"/>
        </w:rPr>
      </w:pPr>
      <w:r>
        <w:rPr>
          <w:rFonts w:hint="eastAsia" w:ascii="宋体" w:hAnsi="宋体"/>
          <w:b/>
          <w:kern w:val="0"/>
          <w:sz w:val="20"/>
          <w:szCs w:val="20"/>
        </w:rPr>
        <w:t>屋面防水层检查要求</w:t>
      </w:r>
    </w:p>
    <w:tbl>
      <w:tblPr>
        <w:tblStyle w:val="24"/>
        <w:tblW w:w="86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1241"/>
        <w:gridCol w:w="2754"/>
        <w:gridCol w:w="1078"/>
        <w:gridCol w:w="24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8" w:hRule="atLeast"/>
          <w:tblHeader/>
          <w:jc w:val="center"/>
        </w:trPr>
        <w:tc>
          <w:tcPr>
            <w:tcW w:w="1186"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项目</w:t>
            </w:r>
          </w:p>
        </w:tc>
        <w:tc>
          <w:tcPr>
            <w:tcW w:w="1241"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部位</w:t>
            </w:r>
          </w:p>
        </w:tc>
        <w:tc>
          <w:tcPr>
            <w:tcW w:w="2754"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检查内容</w:t>
            </w:r>
          </w:p>
        </w:tc>
        <w:tc>
          <w:tcPr>
            <w:tcW w:w="1078"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检查方法</w:t>
            </w:r>
          </w:p>
        </w:tc>
        <w:tc>
          <w:tcPr>
            <w:tcW w:w="2415"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检查频次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6" w:type="dxa"/>
            <w:vAlign w:val="center"/>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防水卷材</w:t>
            </w:r>
          </w:p>
        </w:tc>
        <w:tc>
          <w:tcPr>
            <w:tcW w:w="1241" w:type="dxa"/>
            <w:vAlign w:val="center"/>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屋面</w:t>
            </w:r>
          </w:p>
        </w:tc>
        <w:tc>
          <w:tcPr>
            <w:tcW w:w="2754" w:type="dxa"/>
            <w:vAlign w:val="center"/>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防水卷材外观质量状况；卷材接缝完好状况</w:t>
            </w:r>
          </w:p>
        </w:tc>
        <w:tc>
          <w:tcPr>
            <w:tcW w:w="1078" w:type="dxa"/>
            <w:vAlign w:val="center"/>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观察检查</w:t>
            </w:r>
          </w:p>
        </w:tc>
        <w:tc>
          <w:tcPr>
            <w:tcW w:w="2415" w:type="dxa"/>
            <w:vAlign w:val="center"/>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每12个月1次，并在雷、暴雨、暴雪季节增加检查频次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1186" w:type="dxa"/>
            <w:vMerge w:val="restart"/>
            <w:vAlign w:val="center"/>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细部节点</w:t>
            </w:r>
          </w:p>
        </w:tc>
        <w:tc>
          <w:tcPr>
            <w:tcW w:w="1241" w:type="dxa"/>
            <w:vAlign w:val="center"/>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屋脊、山墙、天窗等部位</w:t>
            </w:r>
          </w:p>
        </w:tc>
        <w:tc>
          <w:tcPr>
            <w:tcW w:w="2754" w:type="dxa"/>
            <w:vAlign w:val="center"/>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卷材收口处密封胶密封状况；    收口金属件变形、松动、锈蚀状况；泛水板固定状况</w:t>
            </w:r>
          </w:p>
        </w:tc>
        <w:tc>
          <w:tcPr>
            <w:tcW w:w="1078" w:type="dxa"/>
            <w:vAlign w:val="center"/>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观察检查</w:t>
            </w:r>
          </w:p>
        </w:tc>
        <w:tc>
          <w:tcPr>
            <w:tcW w:w="2415" w:type="dxa"/>
            <w:vAlign w:val="center"/>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每12个月1次，并在雷、暴雨、暴雪季节增加检查频次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6" w:type="dxa"/>
            <w:vMerge w:val="continue"/>
            <w:vAlign w:val="center"/>
          </w:tcPr>
          <w:p>
            <w:pPr>
              <w:widowControl/>
              <w:spacing w:line="300" w:lineRule="exact"/>
              <w:jc w:val="center"/>
              <w:rPr>
                <w:rFonts w:ascii="宋体" w:hAnsi="宋体" w:cs="宋体"/>
                <w:kern w:val="0"/>
                <w:sz w:val="18"/>
                <w:szCs w:val="18"/>
              </w:rPr>
            </w:pPr>
          </w:p>
        </w:tc>
        <w:tc>
          <w:tcPr>
            <w:tcW w:w="1241" w:type="dxa"/>
            <w:vAlign w:val="center"/>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檐沟或天沟</w:t>
            </w:r>
          </w:p>
        </w:tc>
        <w:tc>
          <w:tcPr>
            <w:tcW w:w="2754" w:type="dxa"/>
            <w:vAlign w:val="center"/>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天沟积水与排水口堵塞情况；    灰尘、杂物、异物的堆积情况；    天沟内卷材接缝完好状况</w:t>
            </w:r>
          </w:p>
        </w:tc>
        <w:tc>
          <w:tcPr>
            <w:tcW w:w="1078" w:type="dxa"/>
            <w:vAlign w:val="center"/>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观察检查</w:t>
            </w:r>
          </w:p>
        </w:tc>
        <w:tc>
          <w:tcPr>
            <w:tcW w:w="2415" w:type="dxa"/>
            <w:vAlign w:val="center"/>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每6个月1次，并在雷、暴雨、暴雪季节增加检查频次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186" w:type="dxa"/>
            <w:vAlign w:val="center"/>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附加功能层</w:t>
            </w:r>
          </w:p>
        </w:tc>
        <w:tc>
          <w:tcPr>
            <w:tcW w:w="1241" w:type="dxa"/>
            <w:vAlign w:val="center"/>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装饰层       光伏层       其他附加功能层</w:t>
            </w:r>
          </w:p>
        </w:tc>
        <w:tc>
          <w:tcPr>
            <w:tcW w:w="2754" w:type="dxa"/>
            <w:vAlign w:val="center"/>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与防水卷材屋面工程的连接构造松动、变形、锈蚀；</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外观完好状况，变形、松动、损坏程度检查；</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灰尘、杂物、异物的堆积情况；运行情况检查</w:t>
            </w:r>
          </w:p>
        </w:tc>
        <w:tc>
          <w:tcPr>
            <w:tcW w:w="1078" w:type="dxa"/>
            <w:vAlign w:val="center"/>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观察检查或按照使用说明</w:t>
            </w:r>
          </w:p>
        </w:tc>
        <w:tc>
          <w:tcPr>
            <w:tcW w:w="2415" w:type="dxa"/>
            <w:vAlign w:val="center"/>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每6个月1次，或按照使用说明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86" w:type="dxa"/>
            <w:vAlign w:val="center"/>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维护设施、</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防冰雪设施、</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防雷设施</w:t>
            </w:r>
          </w:p>
        </w:tc>
        <w:tc>
          <w:tcPr>
            <w:tcW w:w="1241" w:type="dxa"/>
            <w:vAlign w:val="center"/>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检修走道</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防坠落设施</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防冰雪设施</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防雷设施</w:t>
            </w:r>
          </w:p>
        </w:tc>
        <w:tc>
          <w:tcPr>
            <w:tcW w:w="2754" w:type="dxa"/>
            <w:vAlign w:val="center"/>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与防水卷材屋面工程的连接构造松动、变形、锈蚀；</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外观完好状况，变形、松动、损坏程度检查；</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灰尘、杂物、异物的堆积情况；运行情况检查</w:t>
            </w:r>
          </w:p>
        </w:tc>
        <w:tc>
          <w:tcPr>
            <w:tcW w:w="1078" w:type="dxa"/>
            <w:vAlign w:val="center"/>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观察检查或按照使用说明</w:t>
            </w:r>
          </w:p>
        </w:tc>
        <w:tc>
          <w:tcPr>
            <w:tcW w:w="2415" w:type="dxa"/>
            <w:vAlign w:val="center"/>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每12个月1次，或按照使用说明</w:t>
            </w:r>
          </w:p>
        </w:tc>
      </w:tr>
    </w:tbl>
    <w:p>
      <w:pPr>
        <w:spacing w:line="440" w:lineRule="exact"/>
        <w:ind w:firstLine="431" w:firstLineChars="196"/>
        <w:rPr>
          <w:rFonts w:hint="eastAsia"/>
          <w:sz w:val="22"/>
          <w:szCs w:val="22"/>
        </w:rPr>
      </w:pPr>
      <w:r>
        <w:rPr>
          <w:rFonts w:hint="eastAsia"/>
          <w:sz w:val="22"/>
          <w:szCs w:val="22"/>
          <w:lang w:eastAsia="zh-CN"/>
        </w:rPr>
        <w:t>“</w:t>
      </w:r>
      <w:r>
        <w:rPr>
          <w:rFonts w:hint="eastAsia"/>
          <w:sz w:val="22"/>
          <w:szCs w:val="22"/>
          <w:lang w:val="en-US" w:eastAsia="zh-CN"/>
        </w:rPr>
        <w:t xml:space="preserve">8.5.7 </w:t>
      </w:r>
      <w:r>
        <w:rPr>
          <w:rFonts w:hint="eastAsia"/>
          <w:sz w:val="22"/>
          <w:szCs w:val="22"/>
        </w:rPr>
        <w:t>维修用材料宜与原工程材料保持一致或具有同等性能，并应相容。</w:t>
      </w:r>
      <w:r>
        <w:rPr>
          <w:rFonts w:hint="eastAsia"/>
          <w:sz w:val="22"/>
          <w:szCs w:val="22"/>
          <w:lang w:eastAsia="zh-CN"/>
        </w:rPr>
        <w:t>”</w:t>
      </w:r>
      <w:r>
        <w:rPr>
          <w:rFonts w:hint="eastAsia"/>
          <w:sz w:val="22"/>
          <w:szCs w:val="22"/>
        </w:rPr>
        <w:t>材料进行更换、修补时，要确保使用的材料与原有的材料相容、可靠结合，保证维修过程中新旧防水材料彼此相容，以防止由于新旧材料不相容造成防水失效。</w:t>
      </w:r>
    </w:p>
    <w:p>
      <w:pPr>
        <w:spacing w:line="440" w:lineRule="exact"/>
        <w:ind w:firstLine="431" w:firstLineChars="196"/>
        <w:rPr>
          <w:sz w:val="22"/>
          <w:szCs w:val="22"/>
        </w:rPr>
      </w:pPr>
      <w:r>
        <w:rPr>
          <w:rFonts w:hint="eastAsia"/>
          <w:sz w:val="22"/>
          <w:szCs w:val="22"/>
          <w:lang w:eastAsia="zh-CN"/>
        </w:rPr>
        <w:t>“</w:t>
      </w:r>
      <w:r>
        <w:rPr>
          <w:rFonts w:hint="eastAsia"/>
          <w:sz w:val="22"/>
          <w:szCs w:val="22"/>
          <w:lang w:val="en-US" w:eastAsia="zh-CN"/>
        </w:rPr>
        <w:t xml:space="preserve">8.5.8 </w:t>
      </w:r>
      <w:r>
        <w:rPr>
          <w:rFonts w:hint="eastAsia"/>
          <w:sz w:val="22"/>
          <w:szCs w:val="22"/>
        </w:rPr>
        <w:t>保修期满后，建设单位应组织相关方对防水工程的总体情况进行验收。防水工程达到设计工作年限时应组织技术评审，以确定更新或维修。</w:t>
      </w:r>
      <w:r>
        <w:rPr>
          <w:rFonts w:hint="eastAsia"/>
          <w:sz w:val="22"/>
          <w:szCs w:val="22"/>
          <w:lang w:eastAsia="zh-CN"/>
        </w:rPr>
        <w:t>”</w:t>
      </w:r>
      <w:r>
        <w:rPr>
          <w:rFonts w:hint="eastAsia"/>
          <w:sz w:val="22"/>
          <w:szCs w:val="22"/>
        </w:rPr>
        <w:t>任何工程均有其设计工作年限，对超出设计工作年限的单层防水卷材屋面工程应进行鉴定评估，判断是否可继续使用以及可继续使用的年限，并制定具体维护和维修方案，以保障使用安全。</w:t>
      </w:r>
    </w:p>
    <w:p>
      <w:pPr>
        <w:spacing w:line="440" w:lineRule="exact"/>
        <w:ind w:right="0" w:rightChars="0" w:firstLine="442" w:firstLineChars="200"/>
        <w:outlineLvl w:val="2"/>
        <w:rPr>
          <w:b/>
          <w:bCs/>
          <w:sz w:val="22"/>
          <w:szCs w:val="22"/>
        </w:rPr>
      </w:pPr>
      <w:bookmarkStart w:id="19" w:name="_Toc36132047"/>
      <w:r>
        <w:rPr>
          <w:rFonts w:hint="eastAsia"/>
          <w:b/>
          <w:bCs/>
          <w:sz w:val="22"/>
          <w:szCs w:val="22"/>
        </w:rPr>
        <w:t>3.2.11 附录</w:t>
      </w:r>
    </w:p>
    <w:p>
      <w:pPr>
        <w:spacing w:line="440" w:lineRule="exact"/>
        <w:ind w:firstLine="431" w:firstLineChars="196"/>
      </w:pPr>
      <w:r>
        <w:rPr>
          <w:rFonts w:hint="eastAsia"/>
          <w:sz w:val="22"/>
          <w:szCs w:val="22"/>
        </w:rPr>
        <w:t>本标准附录对应用于单层防水卷材屋面工程的高分子防水卷材，在材料进场检验时进行了规定。</w:t>
      </w:r>
    </w:p>
    <w:p>
      <w:pPr>
        <w:spacing w:line="440" w:lineRule="exact"/>
        <w:ind w:firstLine="431" w:firstLineChars="196"/>
        <w:rPr>
          <w:rFonts w:hint="eastAsia"/>
          <w:sz w:val="22"/>
          <w:szCs w:val="22"/>
          <w:lang w:val="en-US" w:eastAsia="zh-CN"/>
        </w:rPr>
      </w:pPr>
      <w:r>
        <w:rPr>
          <w:rFonts w:hint="eastAsia"/>
          <w:sz w:val="22"/>
          <w:szCs w:val="22"/>
          <w:lang w:eastAsia="zh-CN"/>
        </w:rPr>
        <w:t>本</w:t>
      </w:r>
      <w:r>
        <w:rPr>
          <w:rFonts w:hint="eastAsia"/>
          <w:sz w:val="22"/>
          <w:szCs w:val="22"/>
        </w:rPr>
        <w:t>标准</w:t>
      </w:r>
      <w:r>
        <w:rPr>
          <w:rFonts w:hint="eastAsia"/>
          <w:sz w:val="22"/>
          <w:szCs w:val="22"/>
          <w:lang w:eastAsia="zh-CN"/>
        </w:rPr>
        <w:t>中屋面防水工程</w:t>
      </w:r>
      <w:r>
        <w:rPr>
          <w:rFonts w:hint="eastAsia"/>
          <w:sz w:val="22"/>
          <w:szCs w:val="22"/>
        </w:rPr>
        <w:t>涉及</w:t>
      </w:r>
      <w:r>
        <w:rPr>
          <w:rFonts w:hint="eastAsia"/>
          <w:sz w:val="22"/>
          <w:szCs w:val="22"/>
          <w:lang w:eastAsia="zh-CN"/>
        </w:rPr>
        <w:t>的高分子防水卷材及配套用材料的</w:t>
      </w:r>
      <w:r>
        <w:rPr>
          <w:rFonts w:hint="eastAsia"/>
          <w:sz w:val="22"/>
          <w:szCs w:val="22"/>
        </w:rPr>
        <w:t>产品种类不多，</w:t>
      </w:r>
      <w:r>
        <w:rPr>
          <w:rFonts w:hint="eastAsia"/>
          <w:sz w:val="22"/>
          <w:szCs w:val="22"/>
          <w:lang w:eastAsia="zh-CN"/>
        </w:rPr>
        <w:t>在实际工程项目施工现场使用过程中，均需对其</w:t>
      </w:r>
      <w:r>
        <w:rPr>
          <w:rFonts w:hint="eastAsia"/>
          <w:sz w:val="22"/>
          <w:szCs w:val="22"/>
        </w:rPr>
        <w:t>进行检验，</w:t>
      </w:r>
      <w:r>
        <w:rPr>
          <w:rFonts w:hint="eastAsia"/>
          <w:sz w:val="22"/>
          <w:szCs w:val="22"/>
          <w:lang w:eastAsia="zh-CN"/>
        </w:rPr>
        <w:t>因此整理汇总后</w:t>
      </w:r>
      <w:r>
        <w:rPr>
          <w:rFonts w:hint="eastAsia"/>
          <w:sz w:val="22"/>
          <w:szCs w:val="22"/>
        </w:rPr>
        <w:t>放到一个附录里面，便于使用者包括业主，监理，施工人员，对于相关材料的检验情况有所了解。</w:t>
      </w:r>
      <w:r>
        <w:rPr>
          <w:rFonts w:hint="eastAsia"/>
          <w:sz w:val="22"/>
          <w:szCs w:val="22"/>
          <w:lang w:eastAsia="zh-CN"/>
        </w:rPr>
        <w:t>《屋面工程质量验收规范》</w:t>
      </w:r>
      <w:r>
        <w:rPr>
          <w:rFonts w:hint="eastAsia"/>
          <w:sz w:val="22"/>
          <w:szCs w:val="22"/>
          <w:lang w:val="en-US" w:eastAsia="zh-CN"/>
        </w:rPr>
        <w:t>GB 50207中附录A 屋面防水材料进场检验项目及材料标准中的表A.0.1给予了参考，本标准参照《单层防水卷材屋面工程技术规程》JGJ/T 316中附录C中的相关规定，进行梳理。</w:t>
      </w:r>
    </w:p>
    <w:p>
      <w:pPr>
        <w:spacing w:line="440" w:lineRule="exact"/>
        <w:ind w:firstLine="431" w:firstLineChars="196"/>
        <w:rPr>
          <w:rFonts w:hint="eastAsia" w:eastAsia="宋体"/>
          <w:sz w:val="22"/>
          <w:szCs w:val="22"/>
          <w:lang w:eastAsia="zh-CN"/>
        </w:rPr>
      </w:pPr>
      <w:r>
        <w:rPr>
          <w:rFonts w:hint="eastAsia"/>
          <w:sz w:val="22"/>
          <w:szCs w:val="22"/>
          <w:lang w:val="en-US" w:eastAsia="zh-CN"/>
        </w:rPr>
        <w:t>本标准中</w:t>
      </w:r>
      <w:r>
        <w:rPr>
          <w:rFonts w:hint="eastAsia"/>
          <w:sz w:val="22"/>
          <w:szCs w:val="22"/>
          <w:lang w:eastAsia="zh-CN"/>
        </w:rPr>
        <w:t>屋面防水工程</w:t>
      </w:r>
      <w:r>
        <w:rPr>
          <w:rFonts w:hint="eastAsia"/>
          <w:sz w:val="22"/>
          <w:szCs w:val="22"/>
          <w:lang w:val="en-US" w:eastAsia="zh-CN"/>
        </w:rPr>
        <w:t>主要涉及的高分子防水卷材为聚氯乙烯（PVC）防水卷材、</w:t>
      </w:r>
      <w:r>
        <w:rPr>
          <w:rFonts w:hint="eastAsia" w:ascii="Times New Roman" w:hAnsi="Times New Roman"/>
          <w:sz w:val="22"/>
          <w:szCs w:val="22"/>
        </w:rPr>
        <w:t>热塑性聚烯烃</w:t>
      </w:r>
      <w:r>
        <w:rPr>
          <w:rFonts w:hint="eastAsia"/>
          <w:sz w:val="22"/>
          <w:szCs w:val="22"/>
          <w:lang w:eastAsia="zh-CN"/>
        </w:rPr>
        <w:t>（</w:t>
      </w:r>
      <w:r>
        <w:rPr>
          <w:rFonts w:hint="eastAsia"/>
          <w:sz w:val="22"/>
          <w:szCs w:val="22"/>
          <w:lang w:val="en-US" w:eastAsia="zh-CN"/>
        </w:rPr>
        <w:t>TPO</w:t>
      </w:r>
      <w:r>
        <w:rPr>
          <w:rFonts w:hint="eastAsia"/>
          <w:sz w:val="22"/>
          <w:szCs w:val="22"/>
          <w:lang w:eastAsia="zh-CN"/>
        </w:rPr>
        <w:t>）</w:t>
      </w:r>
      <w:r>
        <w:rPr>
          <w:rFonts w:hint="eastAsia" w:ascii="Times New Roman" w:hAnsi="Times New Roman"/>
          <w:sz w:val="22"/>
          <w:szCs w:val="22"/>
        </w:rPr>
        <w:t>防水卷材</w:t>
      </w:r>
      <w:r>
        <w:rPr>
          <w:rFonts w:hint="eastAsia" w:ascii="Times New Roman" w:hAnsi="Times New Roman"/>
          <w:sz w:val="22"/>
          <w:szCs w:val="22"/>
          <w:lang w:eastAsia="zh-CN"/>
        </w:rPr>
        <w:t>、</w:t>
      </w:r>
      <w:r>
        <w:rPr>
          <w:rFonts w:hint="eastAsia" w:ascii="Times New Roman" w:hAnsi="Times New Roman"/>
          <w:sz w:val="22"/>
          <w:szCs w:val="22"/>
        </w:rPr>
        <w:t>三元乙丙</w:t>
      </w:r>
      <w:r>
        <w:rPr>
          <w:rFonts w:hint="eastAsia"/>
          <w:sz w:val="22"/>
          <w:szCs w:val="22"/>
          <w:lang w:eastAsia="zh-CN"/>
        </w:rPr>
        <w:t>（</w:t>
      </w:r>
      <w:r>
        <w:rPr>
          <w:rFonts w:hint="eastAsia"/>
          <w:sz w:val="22"/>
          <w:szCs w:val="22"/>
          <w:lang w:val="en-US" w:eastAsia="zh-CN"/>
        </w:rPr>
        <w:t>EPDM</w:t>
      </w:r>
      <w:r>
        <w:rPr>
          <w:rFonts w:hint="eastAsia"/>
          <w:sz w:val="22"/>
          <w:szCs w:val="22"/>
          <w:lang w:eastAsia="zh-CN"/>
        </w:rPr>
        <w:t>）</w:t>
      </w:r>
      <w:r>
        <w:rPr>
          <w:rFonts w:hint="eastAsia" w:ascii="Times New Roman" w:hAnsi="Times New Roman"/>
          <w:sz w:val="22"/>
          <w:szCs w:val="22"/>
        </w:rPr>
        <w:t>橡胶防水卷材</w:t>
      </w:r>
      <w:r>
        <w:rPr>
          <w:rFonts w:hint="eastAsia"/>
          <w:sz w:val="22"/>
          <w:szCs w:val="22"/>
          <w:lang w:eastAsia="zh-CN"/>
        </w:rPr>
        <w:t>，在检验项目中删减了</w:t>
      </w:r>
      <w:r>
        <w:rPr>
          <w:rFonts w:hint="eastAsia" w:ascii="Times New Roman" w:hAnsi="Times New Roman"/>
          <w:sz w:val="22"/>
          <w:szCs w:val="22"/>
        </w:rPr>
        <w:t>弹性体改性沥青防水卷材</w:t>
      </w:r>
      <w:r>
        <w:rPr>
          <w:rFonts w:hint="eastAsia" w:ascii="Times New Roman" w:hAnsi="Times New Roman"/>
          <w:sz w:val="22"/>
          <w:szCs w:val="22"/>
          <w:lang w:eastAsia="zh-CN"/>
        </w:rPr>
        <w:t>、</w:t>
      </w:r>
      <w:r>
        <w:rPr>
          <w:rFonts w:hint="eastAsia" w:ascii="Times New Roman" w:hAnsi="Times New Roman"/>
          <w:sz w:val="22"/>
          <w:szCs w:val="22"/>
        </w:rPr>
        <w:t>塑性体改性沥青防水卷材</w:t>
      </w:r>
      <w:r>
        <w:rPr>
          <w:rFonts w:hint="eastAsia"/>
          <w:sz w:val="22"/>
          <w:szCs w:val="22"/>
          <w:lang w:eastAsia="zh-CN"/>
        </w:rPr>
        <w:t>两种。本标准中涉及的防水卷材配套材料主要有</w:t>
      </w:r>
      <w:r>
        <w:rPr>
          <w:rFonts w:hint="eastAsia" w:ascii="Times New Roman" w:hAnsi="Times New Roman"/>
          <w:sz w:val="22"/>
          <w:szCs w:val="22"/>
        </w:rPr>
        <w:t>防水卷材胶粘剂</w:t>
      </w:r>
      <w:r>
        <w:rPr>
          <w:rFonts w:hint="eastAsia" w:ascii="Times New Roman" w:hAnsi="Times New Roman"/>
          <w:sz w:val="22"/>
          <w:szCs w:val="22"/>
          <w:lang w:eastAsia="zh-CN"/>
        </w:rPr>
        <w:t>、</w:t>
      </w:r>
      <w:r>
        <w:rPr>
          <w:rFonts w:hint="eastAsia" w:ascii="Times New Roman" w:hAnsi="Times New Roman"/>
          <w:sz w:val="22"/>
          <w:szCs w:val="22"/>
        </w:rPr>
        <w:t>搭接胶带</w:t>
      </w:r>
      <w:r>
        <w:rPr>
          <w:rFonts w:hint="eastAsia"/>
          <w:sz w:val="22"/>
          <w:szCs w:val="22"/>
          <w:lang w:eastAsia="zh-CN"/>
        </w:rPr>
        <w:t>两种，均在附录中列出。</w:t>
      </w:r>
    </w:p>
    <w:p>
      <w:pPr>
        <w:spacing w:line="440" w:lineRule="exact"/>
        <w:ind w:firstLine="431" w:firstLineChars="196"/>
        <w:rPr>
          <w:rFonts w:hint="eastAsia"/>
          <w:sz w:val="22"/>
          <w:szCs w:val="22"/>
          <w:lang w:eastAsia="zh-CN"/>
        </w:rPr>
      </w:pPr>
      <w:r>
        <w:rPr>
          <w:rFonts w:hint="eastAsia"/>
          <w:sz w:val="22"/>
          <w:szCs w:val="22"/>
          <w:lang w:eastAsia="zh-CN"/>
        </w:rPr>
        <w:t>各个涉及产品的性能检验项目主要以产品相关执行标准中</w:t>
      </w:r>
      <w:r>
        <w:rPr>
          <w:rFonts w:hint="eastAsia"/>
          <w:sz w:val="22"/>
          <w:szCs w:val="22"/>
          <w:lang w:val="en-US" w:eastAsia="zh-CN"/>
        </w:rPr>
        <w:t>材料性能指标的检验项目，是</w:t>
      </w:r>
      <w:r>
        <w:rPr>
          <w:rFonts w:hint="eastAsia"/>
          <w:sz w:val="22"/>
          <w:szCs w:val="22"/>
          <w:lang w:eastAsia="zh-CN"/>
        </w:rPr>
        <w:t>影响产品耐久性的关键。各产品相关执行标准如下表所示。</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3431"/>
        <w:gridCol w:w="1594"/>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62" w:type="dxa"/>
            <w:tcBorders>
              <w:top w:val="single" w:color="auto" w:sz="12" w:space="0"/>
              <w:left w:val="single" w:color="auto" w:sz="12" w:space="0"/>
            </w:tcBorders>
            <w:vAlign w:val="center"/>
          </w:tcPr>
          <w:p>
            <w:pPr>
              <w:widowControl/>
              <w:spacing w:line="300" w:lineRule="exact"/>
              <w:jc w:val="center"/>
              <w:rPr>
                <w:rFonts w:hint="eastAsia" w:ascii="宋体" w:hAnsi="宋体" w:cs="宋体"/>
                <w:b/>
                <w:bCs/>
                <w:kern w:val="0"/>
                <w:sz w:val="18"/>
                <w:szCs w:val="18"/>
                <w:vertAlign w:val="baseline"/>
                <w:lang w:eastAsia="zh-CN"/>
              </w:rPr>
            </w:pPr>
            <w:r>
              <w:rPr>
                <w:rFonts w:hint="eastAsia" w:ascii="宋体" w:hAnsi="宋体" w:cs="宋体"/>
                <w:b/>
                <w:bCs/>
                <w:kern w:val="0"/>
                <w:sz w:val="18"/>
                <w:szCs w:val="18"/>
                <w:vertAlign w:val="baseline"/>
                <w:lang w:eastAsia="zh-CN"/>
              </w:rPr>
              <w:t>序号</w:t>
            </w:r>
          </w:p>
        </w:tc>
        <w:tc>
          <w:tcPr>
            <w:tcW w:w="3431" w:type="dxa"/>
            <w:tcBorders>
              <w:top w:val="single" w:color="auto" w:sz="12" w:space="0"/>
            </w:tcBorders>
            <w:vAlign w:val="center"/>
          </w:tcPr>
          <w:p>
            <w:pPr>
              <w:widowControl/>
              <w:spacing w:line="300" w:lineRule="exact"/>
              <w:jc w:val="center"/>
              <w:rPr>
                <w:rFonts w:hint="eastAsia" w:ascii="宋体" w:hAnsi="宋体" w:cs="宋体"/>
                <w:b/>
                <w:bCs/>
                <w:kern w:val="0"/>
                <w:sz w:val="18"/>
                <w:szCs w:val="18"/>
                <w:vertAlign w:val="baseline"/>
                <w:lang w:eastAsia="zh-CN"/>
              </w:rPr>
            </w:pPr>
            <w:r>
              <w:rPr>
                <w:rFonts w:hint="eastAsia" w:ascii="宋体" w:hAnsi="宋体" w:cs="宋体"/>
                <w:b/>
                <w:bCs/>
                <w:kern w:val="0"/>
                <w:sz w:val="18"/>
                <w:szCs w:val="18"/>
                <w:vertAlign w:val="baseline"/>
                <w:lang w:eastAsia="zh-CN"/>
              </w:rPr>
              <w:t>产品名称</w:t>
            </w:r>
          </w:p>
        </w:tc>
        <w:tc>
          <w:tcPr>
            <w:tcW w:w="1594" w:type="dxa"/>
            <w:tcBorders>
              <w:top w:val="single" w:color="auto" w:sz="12" w:space="0"/>
            </w:tcBorders>
            <w:vAlign w:val="center"/>
          </w:tcPr>
          <w:p>
            <w:pPr>
              <w:widowControl/>
              <w:spacing w:line="300" w:lineRule="exact"/>
              <w:jc w:val="center"/>
              <w:rPr>
                <w:rFonts w:hint="eastAsia" w:ascii="宋体" w:hAnsi="宋体" w:cs="宋体"/>
                <w:b/>
                <w:bCs/>
                <w:kern w:val="0"/>
                <w:sz w:val="18"/>
                <w:szCs w:val="18"/>
                <w:vertAlign w:val="baseline"/>
                <w:lang w:eastAsia="zh-CN"/>
              </w:rPr>
            </w:pPr>
            <w:r>
              <w:rPr>
                <w:rFonts w:hint="eastAsia" w:ascii="宋体" w:hAnsi="宋体" w:cs="宋体"/>
                <w:b/>
                <w:bCs/>
                <w:kern w:val="0"/>
                <w:sz w:val="18"/>
                <w:szCs w:val="18"/>
                <w:vertAlign w:val="baseline"/>
                <w:lang w:eastAsia="zh-CN"/>
              </w:rPr>
              <w:t>执行标准</w:t>
            </w:r>
          </w:p>
        </w:tc>
        <w:tc>
          <w:tcPr>
            <w:tcW w:w="1900" w:type="dxa"/>
            <w:tcBorders>
              <w:top w:val="single" w:color="auto" w:sz="12" w:space="0"/>
              <w:right w:val="single" w:color="auto" w:sz="12" w:space="0"/>
            </w:tcBorders>
            <w:vAlign w:val="center"/>
          </w:tcPr>
          <w:p>
            <w:pPr>
              <w:widowControl/>
              <w:spacing w:line="300" w:lineRule="exact"/>
              <w:jc w:val="center"/>
              <w:rPr>
                <w:rFonts w:hint="eastAsia" w:ascii="宋体" w:hAnsi="宋体" w:cs="宋体"/>
                <w:b/>
                <w:bCs/>
                <w:kern w:val="0"/>
                <w:sz w:val="18"/>
                <w:szCs w:val="18"/>
                <w:vertAlign w:val="baseline"/>
                <w:lang w:eastAsia="zh-CN"/>
              </w:rPr>
            </w:pPr>
            <w:r>
              <w:rPr>
                <w:rFonts w:hint="eastAsia" w:ascii="宋体" w:hAnsi="宋体" w:cs="宋体"/>
                <w:b/>
                <w:bCs/>
                <w:kern w:val="0"/>
                <w:sz w:val="18"/>
                <w:szCs w:val="18"/>
                <w:vertAlign w:val="baseline"/>
                <w:lang w:eastAsia="zh-CN"/>
              </w:rPr>
              <w:t>相关性能指标条文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62" w:type="dxa"/>
            <w:tcBorders>
              <w:left w:val="single" w:color="auto" w:sz="12" w:space="0"/>
            </w:tcBorders>
            <w:vAlign w:val="center"/>
          </w:tcPr>
          <w:p>
            <w:pPr>
              <w:widowControl/>
              <w:spacing w:line="300" w:lineRule="exact"/>
              <w:jc w:val="center"/>
              <w:rPr>
                <w:rFonts w:hint="eastAsia" w:ascii="宋体" w:hAnsi="宋体" w:cs="宋体"/>
                <w:kern w:val="0"/>
                <w:sz w:val="18"/>
                <w:szCs w:val="18"/>
                <w:vertAlign w:val="baseline"/>
                <w:lang w:val="en-US" w:eastAsia="zh-CN"/>
              </w:rPr>
            </w:pPr>
            <w:r>
              <w:rPr>
                <w:rFonts w:hint="eastAsia" w:ascii="宋体" w:hAnsi="宋体" w:cs="宋体"/>
                <w:kern w:val="0"/>
                <w:sz w:val="18"/>
                <w:szCs w:val="18"/>
                <w:vertAlign w:val="baseline"/>
                <w:lang w:val="en-US" w:eastAsia="zh-CN"/>
              </w:rPr>
              <w:t>1</w:t>
            </w:r>
          </w:p>
        </w:tc>
        <w:tc>
          <w:tcPr>
            <w:tcW w:w="3431" w:type="dxa"/>
            <w:vAlign w:val="center"/>
          </w:tcPr>
          <w:p>
            <w:pPr>
              <w:widowControl/>
              <w:spacing w:line="300" w:lineRule="exact"/>
              <w:jc w:val="center"/>
              <w:rPr>
                <w:rFonts w:hint="eastAsia" w:ascii="宋体" w:hAnsi="宋体" w:cs="宋体"/>
                <w:kern w:val="0"/>
                <w:sz w:val="18"/>
                <w:szCs w:val="18"/>
                <w:vertAlign w:val="baseline"/>
                <w:lang w:eastAsia="zh-CN"/>
              </w:rPr>
            </w:pPr>
            <w:r>
              <w:rPr>
                <w:rFonts w:hint="eastAsia" w:ascii="宋体" w:hAnsi="宋体" w:cs="宋体"/>
                <w:kern w:val="0"/>
                <w:sz w:val="18"/>
                <w:szCs w:val="18"/>
                <w:lang w:val="en-US" w:eastAsia="zh-CN"/>
              </w:rPr>
              <w:t>聚氯乙烯（PVC）防水卷材</w:t>
            </w:r>
          </w:p>
        </w:tc>
        <w:tc>
          <w:tcPr>
            <w:tcW w:w="1594" w:type="dxa"/>
            <w:vAlign w:val="center"/>
          </w:tcPr>
          <w:p>
            <w:pPr>
              <w:widowControl/>
              <w:spacing w:line="300" w:lineRule="exact"/>
              <w:jc w:val="center"/>
              <w:rPr>
                <w:rFonts w:hint="eastAsia" w:ascii="宋体" w:hAnsi="宋体" w:cs="宋体"/>
                <w:kern w:val="0"/>
                <w:sz w:val="18"/>
                <w:szCs w:val="18"/>
                <w:vertAlign w:val="baseline"/>
                <w:lang w:val="en-US" w:eastAsia="zh-CN"/>
              </w:rPr>
            </w:pPr>
            <w:r>
              <w:rPr>
                <w:rFonts w:hint="eastAsia" w:ascii="宋体" w:hAnsi="宋体" w:cs="宋体"/>
                <w:kern w:val="0"/>
                <w:sz w:val="18"/>
                <w:szCs w:val="18"/>
                <w:vertAlign w:val="baseline"/>
                <w:lang w:val="en-US" w:eastAsia="zh-CN"/>
              </w:rPr>
              <w:t>GB 12952</w:t>
            </w:r>
          </w:p>
        </w:tc>
        <w:tc>
          <w:tcPr>
            <w:tcW w:w="1900" w:type="dxa"/>
            <w:tcBorders>
              <w:right w:val="single" w:color="auto" w:sz="12" w:space="0"/>
            </w:tcBorders>
            <w:vAlign w:val="center"/>
          </w:tcPr>
          <w:p>
            <w:pPr>
              <w:widowControl/>
              <w:spacing w:line="300" w:lineRule="exact"/>
              <w:jc w:val="center"/>
              <w:rPr>
                <w:rFonts w:hint="eastAsia" w:ascii="宋体" w:hAnsi="宋体" w:cs="宋体"/>
                <w:kern w:val="0"/>
                <w:sz w:val="18"/>
                <w:szCs w:val="18"/>
                <w:vertAlign w:val="baseline"/>
                <w:lang w:val="en-US" w:eastAsia="zh-CN"/>
              </w:rPr>
            </w:pPr>
            <w:r>
              <w:rPr>
                <w:rFonts w:hint="eastAsia" w:ascii="宋体" w:hAnsi="宋体" w:cs="宋体"/>
                <w:kern w:val="0"/>
                <w:sz w:val="18"/>
                <w:szCs w:val="18"/>
                <w:vertAlign w:val="baseline"/>
                <w:lang w:val="en-US" w:eastAsia="zh-CN"/>
              </w:rPr>
              <w:t>5.3 材料性能指标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62" w:type="dxa"/>
            <w:tcBorders>
              <w:left w:val="single" w:color="auto" w:sz="12" w:space="0"/>
            </w:tcBorders>
            <w:vAlign w:val="center"/>
          </w:tcPr>
          <w:p>
            <w:pPr>
              <w:widowControl/>
              <w:spacing w:line="300" w:lineRule="exact"/>
              <w:jc w:val="center"/>
              <w:rPr>
                <w:rFonts w:hint="eastAsia" w:ascii="宋体" w:hAnsi="宋体" w:cs="宋体"/>
                <w:kern w:val="0"/>
                <w:sz w:val="18"/>
                <w:szCs w:val="18"/>
                <w:vertAlign w:val="baseline"/>
                <w:lang w:val="en-US" w:eastAsia="zh-CN"/>
              </w:rPr>
            </w:pPr>
            <w:r>
              <w:rPr>
                <w:rFonts w:hint="eastAsia" w:ascii="宋体" w:hAnsi="宋体" w:cs="宋体"/>
                <w:kern w:val="0"/>
                <w:sz w:val="18"/>
                <w:szCs w:val="18"/>
                <w:vertAlign w:val="baseline"/>
                <w:lang w:val="en-US" w:eastAsia="zh-CN"/>
              </w:rPr>
              <w:t>2</w:t>
            </w:r>
          </w:p>
        </w:tc>
        <w:tc>
          <w:tcPr>
            <w:tcW w:w="3431" w:type="dxa"/>
            <w:vAlign w:val="center"/>
          </w:tcPr>
          <w:p>
            <w:pPr>
              <w:widowControl/>
              <w:spacing w:line="300" w:lineRule="exact"/>
              <w:jc w:val="center"/>
              <w:rPr>
                <w:rFonts w:hint="eastAsia" w:ascii="宋体" w:hAnsi="宋体" w:cs="宋体"/>
                <w:kern w:val="0"/>
                <w:sz w:val="18"/>
                <w:szCs w:val="18"/>
                <w:vertAlign w:val="baseline"/>
                <w:lang w:eastAsia="zh-CN"/>
              </w:rPr>
            </w:pPr>
            <w:r>
              <w:rPr>
                <w:rFonts w:hint="eastAsia" w:ascii="宋体" w:hAnsi="宋体" w:cs="宋体"/>
                <w:kern w:val="0"/>
                <w:sz w:val="18"/>
                <w:szCs w:val="18"/>
              </w:rPr>
              <w:t>热塑性聚烯烃</w:t>
            </w:r>
            <w:r>
              <w:rPr>
                <w:rFonts w:hint="eastAsia" w:ascii="宋体" w:hAnsi="宋体" w:cs="宋体"/>
                <w:kern w:val="0"/>
                <w:sz w:val="18"/>
                <w:szCs w:val="18"/>
                <w:lang w:eastAsia="zh-CN"/>
              </w:rPr>
              <w:t>（</w:t>
            </w:r>
            <w:r>
              <w:rPr>
                <w:rFonts w:hint="eastAsia" w:ascii="宋体" w:hAnsi="宋体" w:cs="宋体"/>
                <w:kern w:val="0"/>
                <w:sz w:val="18"/>
                <w:szCs w:val="18"/>
                <w:lang w:val="en-US" w:eastAsia="zh-CN"/>
              </w:rPr>
              <w:t>TPO</w:t>
            </w:r>
            <w:r>
              <w:rPr>
                <w:rFonts w:hint="eastAsia" w:ascii="宋体" w:hAnsi="宋体" w:cs="宋体"/>
                <w:kern w:val="0"/>
                <w:sz w:val="18"/>
                <w:szCs w:val="18"/>
                <w:lang w:eastAsia="zh-CN"/>
              </w:rPr>
              <w:t>）</w:t>
            </w:r>
            <w:r>
              <w:rPr>
                <w:rFonts w:hint="eastAsia" w:ascii="宋体" w:hAnsi="宋体" w:cs="宋体"/>
                <w:kern w:val="0"/>
                <w:sz w:val="18"/>
                <w:szCs w:val="18"/>
              </w:rPr>
              <w:t>防水卷材</w:t>
            </w:r>
          </w:p>
        </w:tc>
        <w:tc>
          <w:tcPr>
            <w:tcW w:w="1594" w:type="dxa"/>
            <w:vAlign w:val="center"/>
          </w:tcPr>
          <w:p>
            <w:pPr>
              <w:widowControl/>
              <w:spacing w:line="300" w:lineRule="exact"/>
              <w:jc w:val="center"/>
              <w:rPr>
                <w:rFonts w:hint="eastAsia" w:ascii="宋体" w:hAnsi="宋体" w:cs="宋体"/>
                <w:kern w:val="0"/>
                <w:sz w:val="18"/>
                <w:szCs w:val="18"/>
                <w:vertAlign w:val="baseline"/>
                <w:lang w:val="en-US" w:eastAsia="zh-CN"/>
              </w:rPr>
            </w:pPr>
            <w:r>
              <w:rPr>
                <w:rFonts w:hint="eastAsia" w:ascii="宋体" w:hAnsi="宋体" w:cs="宋体"/>
                <w:kern w:val="0"/>
                <w:sz w:val="18"/>
                <w:szCs w:val="18"/>
                <w:vertAlign w:val="baseline"/>
                <w:lang w:val="en-US" w:eastAsia="zh-CN"/>
              </w:rPr>
              <w:t>GB 27789</w:t>
            </w:r>
          </w:p>
        </w:tc>
        <w:tc>
          <w:tcPr>
            <w:tcW w:w="1900" w:type="dxa"/>
            <w:tcBorders>
              <w:right w:val="single" w:color="auto" w:sz="12" w:space="0"/>
            </w:tcBorders>
            <w:vAlign w:val="center"/>
          </w:tcPr>
          <w:p>
            <w:pPr>
              <w:widowControl/>
              <w:spacing w:line="300" w:lineRule="exact"/>
              <w:jc w:val="center"/>
              <w:rPr>
                <w:rFonts w:hint="eastAsia" w:ascii="宋体" w:hAnsi="宋体" w:cs="宋体"/>
                <w:kern w:val="0"/>
                <w:sz w:val="18"/>
                <w:szCs w:val="18"/>
                <w:vertAlign w:val="baseline"/>
                <w:lang w:val="en-US" w:eastAsia="zh-CN"/>
              </w:rPr>
            </w:pPr>
            <w:r>
              <w:rPr>
                <w:rFonts w:hint="eastAsia" w:ascii="宋体" w:hAnsi="宋体" w:cs="宋体"/>
                <w:kern w:val="0"/>
                <w:sz w:val="18"/>
                <w:szCs w:val="18"/>
                <w:vertAlign w:val="baseline"/>
                <w:lang w:val="en-US" w:eastAsia="zh-CN"/>
              </w:rPr>
              <w:t>5.3 材料性能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62" w:type="dxa"/>
            <w:tcBorders>
              <w:left w:val="single" w:color="auto" w:sz="12" w:space="0"/>
            </w:tcBorders>
            <w:vAlign w:val="center"/>
          </w:tcPr>
          <w:p>
            <w:pPr>
              <w:widowControl/>
              <w:spacing w:line="300" w:lineRule="exact"/>
              <w:jc w:val="center"/>
              <w:rPr>
                <w:rFonts w:hint="eastAsia" w:ascii="宋体" w:hAnsi="宋体" w:cs="宋体"/>
                <w:kern w:val="0"/>
                <w:sz w:val="18"/>
                <w:szCs w:val="18"/>
                <w:vertAlign w:val="baseline"/>
                <w:lang w:val="en-US" w:eastAsia="zh-CN"/>
              </w:rPr>
            </w:pPr>
            <w:r>
              <w:rPr>
                <w:rFonts w:hint="eastAsia" w:ascii="宋体" w:hAnsi="宋体" w:cs="宋体"/>
                <w:kern w:val="0"/>
                <w:sz w:val="18"/>
                <w:szCs w:val="18"/>
                <w:vertAlign w:val="baseline"/>
                <w:lang w:val="en-US" w:eastAsia="zh-CN"/>
              </w:rPr>
              <w:t>3</w:t>
            </w:r>
          </w:p>
        </w:tc>
        <w:tc>
          <w:tcPr>
            <w:tcW w:w="3431" w:type="dxa"/>
            <w:vAlign w:val="center"/>
          </w:tcPr>
          <w:p>
            <w:pPr>
              <w:widowControl/>
              <w:spacing w:line="300" w:lineRule="exact"/>
              <w:jc w:val="center"/>
              <w:rPr>
                <w:rFonts w:hint="eastAsia" w:ascii="宋体" w:hAnsi="宋体" w:cs="宋体"/>
                <w:kern w:val="0"/>
                <w:sz w:val="18"/>
                <w:szCs w:val="18"/>
                <w:vertAlign w:val="baseline"/>
                <w:lang w:eastAsia="zh-CN"/>
              </w:rPr>
            </w:pPr>
            <w:r>
              <w:rPr>
                <w:rFonts w:hint="eastAsia" w:ascii="宋体" w:hAnsi="宋体" w:cs="宋体"/>
                <w:kern w:val="0"/>
                <w:sz w:val="18"/>
                <w:szCs w:val="18"/>
              </w:rPr>
              <w:t>三元乙丙</w:t>
            </w:r>
            <w:r>
              <w:rPr>
                <w:rFonts w:hint="eastAsia" w:ascii="宋体" w:hAnsi="宋体" w:cs="宋体"/>
                <w:kern w:val="0"/>
                <w:sz w:val="18"/>
                <w:szCs w:val="18"/>
                <w:lang w:eastAsia="zh-CN"/>
              </w:rPr>
              <w:t>（</w:t>
            </w:r>
            <w:r>
              <w:rPr>
                <w:rFonts w:hint="eastAsia" w:ascii="宋体" w:hAnsi="宋体" w:cs="宋体"/>
                <w:kern w:val="0"/>
                <w:sz w:val="18"/>
                <w:szCs w:val="18"/>
                <w:lang w:val="en-US" w:eastAsia="zh-CN"/>
              </w:rPr>
              <w:t>EPDM</w:t>
            </w:r>
            <w:r>
              <w:rPr>
                <w:rFonts w:hint="eastAsia" w:ascii="宋体" w:hAnsi="宋体" w:cs="宋体"/>
                <w:kern w:val="0"/>
                <w:sz w:val="18"/>
                <w:szCs w:val="18"/>
                <w:lang w:eastAsia="zh-CN"/>
              </w:rPr>
              <w:t>）</w:t>
            </w:r>
            <w:r>
              <w:rPr>
                <w:rFonts w:hint="eastAsia" w:ascii="宋体" w:hAnsi="宋体" w:cs="宋体"/>
                <w:kern w:val="0"/>
                <w:sz w:val="18"/>
                <w:szCs w:val="18"/>
              </w:rPr>
              <w:t>橡胶防水卷材</w:t>
            </w:r>
          </w:p>
        </w:tc>
        <w:tc>
          <w:tcPr>
            <w:tcW w:w="1594" w:type="dxa"/>
            <w:vAlign w:val="center"/>
          </w:tcPr>
          <w:p>
            <w:pPr>
              <w:widowControl/>
              <w:spacing w:line="300" w:lineRule="exact"/>
              <w:jc w:val="center"/>
              <w:rPr>
                <w:rFonts w:hint="eastAsia" w:ascii="宋体" w:hAnsi="宋体" w:cs="宋体"/>
                <w:kern w:val="0"/>
                <w:sz w:val="18"/>
                <w:szCs w:val="18"/>
                <w:vertAlign w:val="baseline"/>
                <w:lang w:val="en-US" w:eastAsia="zh-CN"/>
              </w:rPr>
            </w:pPr>
            <w:r>
              <w:rPr>
                <w:rFonts w:hint="eastAsia" w:ascii="宋体" w:hAnsi="宋体" w:cs="宋体"/>
                <w:kern w:val="0"/>
                <w:sz w:val="18"/>
                <w:szCs w:val="18"/>
                <w:vertAlign w:val="baseline"/>
                <w:lang w:val="en-US" w:eastAsia="zh-CN"/>
              </w:rPr>
              <w:t>GB/T18173.1</w:t>
            </w:r>
          </w:p>
        </w:tc>
        <w:tc>
          <w:tcPr>
            <w:tcW w:w="1900" w:type="dxa"/>
            <w:tcBorders>
              <w:right w:val="single" w:color="auto" w:sz="12" w:space="0"/>
            </w:tcBorders>
            <w:vAlign w:val="center"/>
          </w:tcPr>
          <w:p>
            <w:pPr>
              <w:widowControl/>
              <w:spacing w:line="300" w:lineRule="exact"/>
              <w:jc w:val="center"/>
              <w:rPr>
                <w:rFonts w:hint="eastAsia" w:ascii="宋体" w:hAnsi="宋体" w:cs="宋体"/>
                <w:kern w:val="0"/>
                <w:sz w:val="18"/>
                <w:szCs w:val="18"/>
                <w:vertAlign w:val="baseline"/>
                <w:lang w:val="en-US" w:eastAsia="zh-CN"/>
              </w:rPr>
            </w:pPr>
            <w:r>
              <w:rPr>
                <w:rFonts w:hint="eastAsia" w:ascii="宋体" w:hAnsi="宋体" w:cs="宋体"/>
                <w:kern w:val="0"/>
                <w:sz w:val="18"/>
                <w:szCs w:val="18"/>
                <w:vertAlign w:val="baseline"/>
                <w:lang w:val="en-US" w:eastAsia="zh-CN"/>
              </w:rPr>
              <w:t>5.3.2 复合片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62" w:type="dxa"/>
            <w:tcBorders>
              <w:left w:val="single" w:color="auto" w:sz="12" w:space="0"/>
            </w:tcBorders>
            <w:vAlign w:val="center"/>
          </w:tcPr>
          <w:p>
            <w:pPr>
              <w:widowControl/>
              <w:spacing w:line="300" w:lineRule="exact"/>
              <w:jc w:val="center"/>
              <w:rPr>
                <w:rFonts w:hint="eastAsia" w:ascii="宋体" w:hAnsi="宋体" w:cs="宋体"/>
                <w:kern w:val="0"/>
                <w:sz w:val="18"/>
                <w:szCs w:val="18"/>
                <w:vertAlign w:val="baseline"/>
                <w:lang w:val="en-US" w:eastAsia="zh-CN"/>
              </w:rPr>
            </w:pPr>
            <w:r>
              <w:rPr>
                <w:rFonts w:hint="eastAsia" w:ascii="宋体" w:hAnsi="宋体" w:cs="宋体"/>
                <w:kern w:val="0"/>
                <w:sz w:val="18"/>
                <w:szCs w:val="18"/>
                <w:vertAlign w:val="baseline"/>
                <w:lang w:val="en-US" w:eastAsia="zh-CN"/>
              </w:rPr>
              <w:t>4</w:t>
            </w:r>
          </w:p>
        </w:tc>
        <w:tc>
          <w:tcPr>
            <w:tcW w:w="3431" w:type="dxa"/>
            <w:vAlign w:val="center"/>
          </w:tcPr>
          <w:p>
            <w:pPr>
              <w:widowControl/>
              <w:spacing w:line="300" w:lineRule="exact"/>
              <w:jc w:val="center"/>
              <w:rPr>
                <w:rFonts w:hint="eastAsia" w:ascii="宋体" w:hAnsi="宋体" w:cs="宋体"/>
                <w:kern w:val="0"/>
                <w:sz w:val="18"/>
                <w:szCs w:val="18"/>
                <w:vertAlign w:val="baseline"/>
                <w:lang w:eastAsia="zh-CN"/>
              </w:rPr>
            </w:pPr>
            <w:r>
              <w:rPr>
                <w:rFonts w:hint="eastAsia" w:ascii="宋体" w:hAnsi="宋体" w:cs="宋体"/>
                <w:kern w:val="0"/>
                <w:sz w:val="18"/>
                <w:szCs w:val="18"/>
              </w:rPr>
              <w:t>防水卷材胶粘剂</w:t>
            </w:r>
          </w:p>
        </w:tc>
        <w:tc>
          <w:tcPr>
            <w:tcW w:w="1594" w:type="dxa"/>
            <w:vAlign w:val="center"/>
          </w:tcPr>
          <w:p>
            <w:pPr>
              <w:widowControl/>
              <w:spacing w:line="300" w:lineRule="exact"/>
              <w:jc w:val="center"/>
              <w:rPr>
                <w:rFonts w:hint="eastAsia" w:ascii="宋体" w:hAnsi="宋体" w:cs="宋体"/>
                <w:kern w:val="0"/>
                <w:sz w:val="18"/>
                <w:szCs w:val="18"/>
                <w:vertAlign w:val="baseline"/>
                <w:lang w:eastAsia="zh-CN"/>
              </w:rPr>
            </w:pPr>
            <w:r>
              <w:rPr>
                <w:rFonts w:hint="eastAsia" w:ascii="宋体" w:hAnsi="宋体" w:cs="宋体"/>
                <w:kern w:val="0"/>
                <w:sz w:val="18"/>
                <w:szCs w:val="18"/>
              </w:rPr>
              <w:t>JC/T 863</w:t>
            </w:r>
          </w:p>
        </w:tc>
        <w:tc>
          <w:tcPr>
            <w:tcW w:w="1900" w:type="dxa"/>
            <w:tcBorders>
              <w:right w:val="single" w:color="auto" w:sz="12" w:space="0"/>
            </w:tcBorders>
            <w:vAlign w:val="center"/>
          </w:tcPr>
          <w:p>
            <w:pPr>
              <w:widowControl/>
              <w:spacing w:line="300" w:lineRule="exact"/>
              <w:jc w:val="center"/>
              <w:rPr>
                <w:rFonts w:hint="default" w:ascii="宋体" w:hAnsi="宋体" w:cs="宋体"/>
                <w:kern w:val="0"/>
                <w:sz w:val="18"/>
                <w:szCs w:val="18"/>
                <w:vertAlign w:val="baseline"/>
                <w:lang w:val="en-US" w:eastAsia="zh-CN"/>
              </w:rPr>
            </w:pPr>
            <w:r>
              <w:rPr>
                <w:rFonts w:hint="eastAsia" w:ascii="宋体" w:hAnsi="宋体" w:cs="宋体"/>
                <w:kern w:val="0"/>
                <w:sz w:val="18"/>
                <w:szCs w:val="18"/>
                <w:vertAlign w:val="baseline"/>
                <w:lang w:val="en-US" w:eastAsia="zh-CN"/>
              </w:rPr>
              <w:t>5.2 物理力学性能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62" w:type="dxa"/>
            <w:tcBorders>
              <w:left w:val="single" w:color="auto" w:sz="12" w:space="0"/>
              <w:bottom w:val="single" w:color="auto" w:sz="12" w:space="0"/>
            </w:tcBorders>
            <w:vAlign w:val="center"/>
          </w:tcPr>
          <w:p>
            <w:pPr>
              <w:widowControl/>
              <w:spacing w:line="300" w:lineRule="exact"/>
              <w:jc w:val="center"/>
              <w:rPr>
                <w:rFonts w:hint="eastAsia" w:ascii="宋体" w:hAnsi="宋体" w:cs="宋体"/>
                <w:kern w:val="0"/>
                <w:sz w:val="18"/>
                <w:szCs w:val="18"/>
                <w:vertAlign w:val="baseline"/>
                <w:lang w:val="en-US" w:eastAsia="zh-CN"/>
              </w:rPr>
            </w:pPr>
            <w:r>
              <w:rPr>
                <w:rFonts w:hint="eastAsia" w:ascii="宋体" w:hAnsi="宋体" w:cs="宋体"/>
                <w:kern w:val="0"/>
                <w:sz w:val="18"/>
                <w:szCs w:val="18"/>
                <w:vertAlign w:val="baseline"/>
                <w:lang w:val="en-US" w:eastAsia="zh-CN"/>
              </w:rPr>
              <w:t>5</w:t>
            </w:r>
          </w:p>
        </w:tc>
        <w:tc>
          <w:tcPr>
            <w:tcW w:w="3431" w:type="dxa"/>
            <w:tcBorders>
              <w:bottom w:val="single" w:color="auto" w:sz="12" w:space="0"/>
            </w:tcBorders>
            <w:vAlign w:val="center"/>
          </w:tcPr>
          <w:p>
            <w:pPr>
              <w:widowControl/>
              <w:spacing w:line="300" w:lineRule="exact"/>
              <w:jc w:val="center"/>
              <w:rPr>
                <w:rFonts w:hint="eastAsia" w:ascii="宋体" w:hAnsi="宋体" w:cs="宋体"/>
                <w:kern w:val="0"/>
                <w:sz w:val="18"/>
                <w:szCs w:val="18"/>
                <w:vertAlign w:val="baseline"/>
                <w:lang w:eastAsia="zh-CN"/>
              </w:rPr>
            </w:pPr>
            <w:r>
              <w:rPr>
                <w:rFonts w:hint="eastAsia" w:ascii="宋体" w:hAnsi="宋体" w:cs="宋体"/>
                <w:kern w:val="0"/>
                <w:sz w:val="18"/>
                <w:szCs w:val="18"/>
              </w:rPr>
              <w:t>搭接胶带</w:t>
            </w:r>
          </w:p>
        </w:tc>
        <w:tc>
          <w:tcPr>
            <w:tcW w:w="1594" w:type="dxa"/>
            <w:tcBorders>
              <w:bottom w:val="single" w:color="auto" w:sz="12" w:space="0"/>
            </w:tcBorders>
            <w:vAlign w:val="center"/>
          </w:tcPr>
          <w:p>
            <w:pPr>
              <w:widowControl/>
              <w:spacing w:line="300" w:lineRule="exact"/>
              <w:jc w:val="center"/>
              <w:rPr>
                <w:rFonts w:hint="eastAsia" w:ascii="宋体" w:hAnsi="宋体" w:cs="宋体"/>
                <w:kern w:val="0"/>
                <w:sz w:val="18"/>
                <w:szCs w:val="18"/>
                <w:vertAlign w:val="baseline"/>
                <w:lang w:eastAsia="zh-CN"/>
              </w:rPr>
            </w:pPr>
            <w:r>
              <w:rPr>
                <w:rFonts w:hint="eastAsia" w:ascii="宋体" w:hAnsi="宋体" w:cs="宋体"/>
                <w:kern w:val="0"/>
                <w:sz w:val="18"/>
                <w:szCs w:val="18"/>
              </w:rPr>
              <w:t>JC/T 942</w:t>
            </w:r>
          </w:p>
        </w:tc>
        <w:tc>
          <w:tcPr>
            <w:tcW w:w="1900" w:type="dxa"/>
            <w:tcBorders>
              <w:bottom w:val="single" w:color="auto" w:sz="12" w:space="0"/>
              <w:right w:val="single" w:color="auto" w:sz="12" w:space="0"/>
            </w:tcBorders>
            <w:vAlign w:val="center"/>
          </w:tcPr>
          <w:p>
            <w:pPr>
              <w:widowControl/>
              <w:spacing w:line="300" w:lineRule="exact"/>
              <w:jc w:val="center"/>
              <w:rPr>
                <w:rFonts w:hint="default" w:ascii="宋体" w:hAnsi="宋体" w:cs="宋体"/>
                <w:kern w:val="0"/>
                <w:sz w:val="18"/>
                <w:szCs w:val="18"/>
                <w:vertAlign w:val="baseline"/>
                <w:lang w:val="en-US" w:eastAsia="zh-CN"/>
              </w:rPr>
            </w:pPr>
            <w:r>
              <w:rPr>
                <w:rFonts w:hint="eastAsia" w:ascii="宋体" w:hAnsi="宋体" w:cs="宋体"/>
                <w:kern w:val="0"/>
                <w:sz w:val="18"/>
                <w:szCs w:val="18"/>
                <w:vertAlign w:val="baseline"/>
                <w:lang w:val="en-US" w:eastAsia="zh-CN"/>
              </w:rPr>
              <w:t>5.3 理化性能</w:t>
            </w:r>
          </w:p>
        </w:tc>
      </w:tr>
    </w:tbl>
    <w:p>
      <w:pPr>
        <w:spacing w:line="460" w:lineRule="exact"/>
        <w:ind w:right="40" w:rightChars="19"/>
        <w:outlineLvl w:val="1"/>
        <w:rPr>
          <w:b/>
          <w:bCs/>
          <w:color w:val="auto"/>
          <w:sz w:val="22"/>
          <w:szCs w:val="22"/>
        </w:rPr>
      </w:pPr>
      <w:r>
        <w:rPr>
          <w:rFonts w:hint="eastAsia"/>
          <w:b/>
          <w:bCs/>
          <w:color w:val="auto"/>
          <w:sz w:val="22"/>
          <w:szCs w:val="22"/>
        </w:rPr>
        <w:t>3.3 本标准的验证情况及分析</w:t>
      </w:r>
    </w:p>
    <w:p>
      <w:pPr>
        <w:spacing w:line="440" w:lineRule="exact"/>
        <w:ind w:firstLine="431" w:firstLineChars="196"/>
        <w:jc w:val="left"/>
        <w:rPr>
          <w:rFonts w:hint="eastAsia" w:ascii="Times New Roman" w:hAnsi="Times New Roman" w:eastAsia="宋体"/>
          <w:sz w:val="22"/>
          <w:szCs w:val="22"/>
        </w:rPr>
      </w:pPr>
      <w:r>
        <w:rPr>
          <w:rFonts w:hint="eastAsia" w:ascii="Times New Roman" w:hAnsi="Times New Roman" w:eastAsia="宋体"/>
          <w:sz w:val="22"/>
          <w:szCs w:val="22"/>
        </w:rPr>
        <w:t>近</w:t>
      </w:r>
      <w:r>
        <w:rPr>
          <w:rFonts w:hint="eastAsia" w:ascii="Times New Roman" w:hAnsi="Times New Roman" w:eastAsia="宋体"/>
          <w:sz w:val="22"/>
          <w:szCs w:val="22"/>
          <w:lang w:val="en-US" w:eastAsia="zh-CN"/>
        </w:rPr>
        <w:t>15</w:t>
      </w:r>
      <w:r>
        <w:rPr>
          <w:rFonts w:hint="eastAsia" w:ascii="Times New Roman" w:hAnsi="Times New Roman" w:eastAsia="宋体"/>
          <w:sz w:val="22"/>
          <w:szCs w:val="22"/>
        </w:rPr>
        <w:t>年来，我国建筑防水材料得到较快发展，高分子类防水卷材得到日益广泛的应用。与防水材料的发展相适应，施工方法也由单一的满粘法发展成为满粘法、机械固定法</w:t>
      </w:r>
      <w:r>
        <w:rPr>
          <w:rFonts w:hint="eastAsia"/>
          <w:sz w:val="22"/>
          <w:szCs w:val="22"/>
          <w:lang w:eastAsia="zh-CN"/>
        </w:rPr>
        <w:t>和压铺</w:t>
      </w:r>
      <w:r>
        <w:rPr>
          <w:rFonts w:hint="eastAsia" w:ascii="Times New Roman" w:hAnsi="Times New Roman" w:eastAsia="宋体"/>
          <w:sz w:val="22"/>
          <w:szCs w:val="22"/>
        </w:rPr>
        <w:t>法等多种施工方法。</w:t>
      </w:r>
      <w:bookmarkStart w:id="38" w:name="_GoBack"/>
      <w:bookmarkEnd w:id="38"/>
    </w:p>
    <w:p>
      <w:pPr>
        <w:spacing w:line="440" w:lineRule="exact"/>
        <w:ind w:firstLine="431" w:firstLineChars="196"/>
        <w:jc w:val="left"/>
        <w:rPr>
          <w:rFonts w:hint="eastAsia"/>
          <w:sz w:val="22"/>
          <w:szCs w:val="22"/>
          <w:lang w:eastAsia="zh-CN"/>
        </w:rPr>
      </w:pPr>
      <w:r>
        <w:rPr>
          <w:rFonts w:hint="eastAsia"/>
          <w:sz w:val="22"/>
          <w:szCs w:val="22"/>
          <w:lang w:eastAsia="zh-CN"/>
        </w:rPr>
        <w:t>材料性能的提升、施工工艺的多样性和规范化，对高分子防水卷材应用于单层卷材屋面的项目质量提升是有利的。国内较多的高分子防水卷材生产企业及施工企业，将材料应用与推广在工业建筑、厂房屋面、商业建筑、机场体育馆等基础设施屋面工程中，对单层卷材屋面的发展做出了极大的贡献。</w:t>
      </w:r>
    </w:p>
    <w:p>
      <w:pPr>
        <w:spacing w:line="440" w:lineRule="exact"/>
        <w:ind w:firstLine="431" w:firstLineChars="196"/>
        <w:jc w:val="left"/>
        <w:rPr>
          <w:rFonts w:hint="eastAsia" w:eastAsia="宋体"/>
          <w:sz w:val="22"/>
          <w:szCs w:val="22"/>
          <w:lang w:val="en-US" w:eastAsia="zh-CN"/>
        </w:rPr>
      </w:pPr>
      <w:r>
        <w:rPr>
          <w:rFonts w:hint="eastAsia"/>
          <w:sz w:val="22"/>
          <w:szCs w:val="22"/>
          <w:lang w:eastAsia="zh-CN"/>
        </w:rPr>
        <w:t>《坡屋面工程技术规范》</w:t>
      </w:r>
      <w:r>
        <w:rPr>
          <w:rFonts w:hint="eastAsia"/>
          <w:sz w:val="22"/>
          <w:szCs w:val="22"/>
          <w:lang w:val="en-US" w:eastAsia="zh-CN"/>
        </w:rPr>
        <w:t>GB50693、《单层防水卷材屋面工程技术规程》JGJ/T 316、《建筑金属围护系统工程技术标准》JGJ/T 473、</w:t>
      </w:r>
      <w:r>
        <w:rPr>
          <w:rFonts w:hint="eastAsia"/>
          <w:sz w:val="22"/>
          <w:szCs w:val="22"/>
        </w:rPr>
        <w:t>《防水卷材屋面用机械固定件》JG/T 576</w:t>
      </w:r>
      <w:r>
        <w:rPr>
          <w:rFonts w:hint="eastAsia"/>
          <w:sz w:val="22"/>
          <w:szCs w:val="22"/>
          <w:lang w:val="en-US" w:eastAsia="zh-CN"/>
        </w:rPr>
        <w:t>等现行标准中，涉及的屋面找坡坡度要求（结构找坡时</w:t>
      </w:r>
      <w:r>
        <w:rPr>
          <w:rFonts w:hint="eastAsia"/>
          <w:sz w:val="22"/>
          <w:szCs w:val="22"/>
          <w:lang w:eastAsia="zh-CN"/>
        </w:rPr>
        <w:t>，</w:t>
      </w:r>
      <w:r>
        <w:rPr>
          <w:rFonts w:hint="eastAsia"/>
          <w:sz w:val="22"/>
          <w:szCs w:val="22"/>
        </w:rPr>
        <w:t>坡度不宜小于3%</w:t>
      </w:r>
      <w:r>
        <w:rPr>
          <w:rFonts w:hint="eastAsia"/>
          <w:sz w:val="22"/>
          <w:szCs w:val="22"/>
          <w:lang w:eastAsia="zh-CN"/>
        </w:rPr>
        <w:t>；</w:t>
      </w:r>
      <w:r>
        <w:rPr>
          <w:rFonts w:hint="eastAsia"/>
          <w:sz w:val="22"/>
          <w:szCs w:val="22"/>
        </w:rPr>
        <w:t>材料找坡</w:t>
      </w:r>
      <w:r>
        <w:rPr>
          <w:rFonts w:hint="eastAsia"/>
          <w:sz w:val="22"/>
          <w:szCs w:val="22"/>
          <w:lang w:eastAsia="zh-CN"/>
        </w:rPr>
        <w:t>时，</w:t>
      </w:r>
      <w:r>
        <w:rPr>
          <w:rFonts w:hint="eastAsia"/>
          <w:sz w:val="22"/>
          <w:szCs w:val="22"/>
        </w:rPr>
        <w:t>坡度不宜小于2%</w:t>
      </w:r>
      <w:r>
        <w:rPr>
          <w:rFonts w:hint="eastAsia"/>
          <w:sz w:val="22"/>
          <w:szCs w:val="22"/>
          <w:lang w:eastAsia="zh-CN"/>
        </w:rPr>
        <w:t>；</w:t>
      </w:r>
      <w:r>
        <w:rPr>
          <w:rFonts w:hint="eastAsia"/>
          <w:sz w:val="22"/>
          <w:szCs w:val="22"/>
        </w:rPr>
        <w:t>压铺法施工</w:t>
      </w:r>
      <w:r>
        <w:rPr>
          <w:rFonts w:hint="eastAsia"/>
          <w:sz w:val="22"/>
          <w:szCs w:val="22"/>
          <w:lang w:eastAsia="zh-CN"/>
        </w:rPr>
        <w:t>时</w:t>
      </w:r>
      <w:r>
        <w:rPr>
          <w:rFonts w:hint="eastAsia"/>
          <w:sz w:val="22"/>
          <w:szCs w:val="22"/>
        </w:rPr>
        <w:t>坡度不应大于10%</w:t>
      </w:r>
      <w:r>
        <w:rPr>
          <w:rFonts w:hint="eastAsia"/>
          <w:sz w:val="22"/>
          <w:szCs w:val="22"/>
          <w:lang w:val="en-US" w:eastAsia="zh-CN"/>
        </w:rPr>
        <w:t>）、机械固定件穿透深度要求（</w:t>
      </w:r>
      <w:r>
        <w:rPr>
          <w:rFonts w:hint="eastAsia"/>
          <w:sz w:val="22"/>
          <w:szCs w:val="22"/>
        </w:rPr>
        <w:t>固定件穿透钢板不应少于20mm，嵌入混凝土基层有效深度不应小于30mm，嵌入木板的有效深度不应小于25mm</w:t>
      </w:r>
      <w:r>
        <w:rPr>
          <w:rFonts w:hint="eastAsia"/>
          <w:sz w:val="22"/>
          <w:szCs w:val="22"/>
          <w:lang w:val="en-US" w:eastAsia="zh-CN"/>
        </w:rPr>
        <w:t>）、防水卷材搭接宽度要求以及压铺材料的质量、密度等均保持一致。上述标准已成熟运用于国内单层防水卷材屋面的施工项目中，并经过了较长时间的实际应用检验。此外，本标准内提及的焊接施工机具以及</w:t>
      </w:r>
      <w:r>
        <w:rPr>
          <w:rFonts w:hint="eastAsia"/>
          <w:sz w:val="22"/>
          <w:szCs w:val="22"/>
        </w:rPr>
        <w:t>采用与屋面防水层同材质的防水卷材复合的</w:t>
      </w:r>
      <w:r>
        <w:rPr>
          <w:rFonts w:hint="eastAsia"/>
          <w:sz w:val="22"/>
          <w:szCs w:val="22"/>
          <w:lang w:eastAsia="zh-CN"/>
        </w:rPr>
        <w:t>预制件等，均在国内单层卷材项目施工中充分应用，具备成熟可操作性。</w:t>
      </w:r>
    </w:p>
    <w:p>
      <w:pPr>
        <w:spacing w:line="440" w:lineRule="exact"/>
        <w:ind w:firstLine="431" w:firstLineChars="196"/>
        <w:jc w:val="left"/>
        <w:rPr>
          <w:rFonts w:hint="eastAsia" w:ascii="Times New Roman" w:hAnsi="Times New Roman" w:eastAsia="宋体"/>
          <w:sz w:val="22"/>
          <w:szCs w:val="22"/>
        </w:rPr>
      </w:pPr>
      <w:r>
        <w:rPr>
          <w:rFonts w:hint="eastAsia"/>
          <w:sz w:val="22"/>
          <w:szCs w:val="22"/>
          <w:lang w:eastAsia="zh-CN"/>
        </w:rPr>
        <w:t>下面</w:t>
      </w:r>
      <w:r>
        <w:rPr>
          <w:rFonts w:hint="eastAsia" w:ascii="Times New Roman" w:hAnsi="Times New Roman" w:eastAsia="宋体"/>
          <w:sz w:val="22"/>
          <w:szCs w:val="22"/>
          <w:lang w:val="en-US" w:eastAsia="zh-CN"/>
        </w:rPr>
        <w:t>列出了一些近年来</w:t>
      </w:r>
      <w:r>
        <w:rPr>
          <w:rFonts w:hint="eastAsia" w:ascii="Times New Roman" w:hAnsi="Times New Roman" w:eastAsia="宋体"/>
          <w:sz w:val="22"/>
          <w:szCs w:val="22"/>
        </w:rPr>
        <w:t>典型</w:t>
      </w:r>
      <w:r>
        <w:rPr>
          <w:rFonts w:hint="eastAsia"/>
          <w:sz w:val="22"/>
          <w:szCs w:val="22"/>
          <w:lang w:eastAsia="zh-CN"/>
        </w:rPr>
        <w:t>使用高分子</w:t>
      </w:r>
      <w:r>
        <w:rPr>
          <w:rFonts w:hint="eastAsia" w:ascii="Times New Roman" w:hAnsi="Times New Roman" w:eastAsia="宋体"/>
          <w:sz w:val="22"/>
          <w:szCs w:val="22"/>
        </w:rPr>
        <w:t>防水卷材</w:t>
      </w:r>
      <w:r>
        <w:rPr>
          <w:rFonts w:hint="eastAsia"/>
          <w:sz w:val="22"/>
          <w:szCs w:val="22"/>
          <w:lang w:eastAsia="zh-CN"/>
        </w:rPr>
        <w:t>作为屋面防水层的单卷</w:t>
      </w:r>
      <w:r>
        <w:rPr>
          <w:rFonts w:hint="eastAsia" w:ascii="Times New Roman" w:hAnsi="Times New Roman" w:eastAsia="宋体"/>
          <w:sz w:val="22"/>
          <w:szCs w:val="22"/>
        </w:rPr>
        <w:t>工程</w:t>
      </w:r>
      <w:r>
        <w:rPr>
          <w:rFonts w:hint="eastAsia"/>
          <w:sz w:val="22"/>
          <w:szCs w:val="22"/>
          <w:lang w:eastAsia="zh-CN"/>
        </w:rPr>
        <w:t>，投入时间年限长，且使用过程中未出现系统性渗漏问题，也是对单层卷材屋面系统可靠性的一个佐证</w:t>
      </w:r>
      <w:r>
        <w:rPr>
          <w:rFonts w:hint="eastAsia" w:ascii="Times New Roman" w:hAnsi="Times New Roman" w:eastAsia="宋体"/>
          <w:sz w:val="22"/>
          <w:szCs w:val="22"/>
        </w:rPr>
        <w:t>。</w:t>
      </w:r>
    </w:p>
    <w:p>
      <w:pPr>
        <w:spacing w:line="440" w:lineRule="exact"/>
        <w:ind w:firstLine="431" w:firstLineChars="196"/>
        <w:jc w:val="left"/>
        <w:rPr>
          <w:rFonts w:hint="eastAsia" w:ascii="Times New Roman" w:hAnsi="Times New Roman" w:eastAsia="宋体"/>
          <w:sz w:val="22"/>
          <w:szCs w:val="22"/>
        </w:rPr>
      </w:pPr>
    </w:p>
    <w:p>
      <w:pPr>
        <w:spacing w:line="440" w:lineRule="exact"/>
        <w:ind w:firstLine="0" w:firstLineChars="0"/>
        <w:jc w:val="center"/>
        <w:rPr>
          <w:rFonts w:hint="eastAsia"/>
          <w:b/>
          <w:bCs/>
          <w:color w:val="auto"/>
          <w:lang w:eastAsia="zh-CN"/>
        </w:rPr>
        <w:sectPr>
          <w:footerReference r:id="rId7" w:type="default"/>
          <w:pgSz w:w="11906" w:h="16838"/>
          <w:pgMar w:top="1440" w:right="1803" w:bottom="1440" w:left="1803" w:header="737" w:footer="737" w:gutter="0"/>
          <w:pgBorders>
            <w:top w:val="none" w:sz="0" w:space="0"/>
            <w:left w:val="none" w:sz="0" w:space="0"/>
            <w:bottom w:val="none" w:sz="0" w:space="0"/>
            <w:right w:val="none" w:sz="0" w:space="0"/>
          </w:pgBorders>
          <w:pgNumType w:fmt="decimal" w:start="1"/>
          <w:cols w:space="0" w:num="1"/>
          <w:formProt w:val="0"/>
          <w:rtlGutter w:val="0"/>
          <w:docGrid w:type="lines" w:linePitch="319" w:charSpace="0"/>
        </w:sectPr>
      </w:pPr>
    </w:p>
    <w:p>
      <w:pPr>
        <w:spacing w:line="440" w:lineRule="exact"/>
        <w:ind w:firstLine="0" w:firstLineChars="0"/>
        <w:jc w:val="center"/>
        <w:rPr>
          <w:rFonts w:hint="eastAsia"/>
          <w:b/>
          <w:bCs/>
          <w:color w:val="auto"/>
          <w:lang w:eastAsia="zh-CN"/>
        </w:rPr>
      </w:pPr>
      <w:r>
        <w:rPr>
          <w:rFonts w:hint="eastAsia"/>
          <w:b/>
          <w:bCs/>
          <w:color w:val="auto"/>
          <w:lang w:eastAsia="zh-CN"/>
        </w:rPr>
        <w:t>单层卷材屋面施工应用案例分析</w:t>
      </w:r>
    </w:p>
    <w:tbl>
      <w:tblPr>
        <w:tblStyle w:val="25"/>
        <w:tblW w:w="1374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718"/>
        <w:gridCol w:w="1077"/>
        <w:gridCol w:w="1091"/>
        <w:gridCol w:w="1064"/>
        <w:gridCol w:w="818"/>
        <w:gridCol w:w="1077"/>
        <w:gridCol w:w="1295"/>
        <w:gridCol w:w="48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29" w:type="dxa"/>
            <w:tcBorders>
              <w:tl2br w:val="nil"/>
              <w:tr2bl w:val="nil"/>
            </w:tcBorders>
            <w:vAlign w:val="center"/>
          </w:tcPr>
          <w:p>
            <w:pPr>
              <w:spacing w:line="440" w:lineRule="exact"/>
              <w:jc w:val="center"/>
              <w:rPr>
                <w:rFonts w:hint="eastAsia"/>
                <w:b/>
                <w:bCs/>
                <w:color w:val="auto"/>
                <w:sz w:val="21"/>
                <w:szCs w:val="21"/>
                <w:vertAlign w:val="baseline"/>
                <w:lang w:eastAsia="zh-CN"/>
              </w:rPr>
            </w:pPr>
            <w:r>
              <w:rPr>
                <w:rFonts w:hint="eastAsia"/>
                <w:b/>
                <w:bCs/>
                <w:color w:val="auto"/>
                <w:sz w:val="21"/>
                <w:szCs w:val="21"/>
                <w:vertAlign w:val="baseline"/>
                <w:lang w:eastAsia="zh-CN"/>
              </w:rPr>
              <w:t>序号</w:t>
            </w:r>
          </w:p>
        </w:tc>
        <w:tc>
          <w:tcPr>
            <w:tcW w:w="1718" w:type="dxa"/>
            <w:tcBorders>
              <w:tl2br w:val="nil"/>
              <w:tr2bl w:val="nil"/>
            </w:tcBorders>
            <w:vAlign w:val="center"/>
          </w:tcPr>
          <w:p>
            <w:pPr>
              <w:spacing w:line="440" w:lineRule="exact"/>
              <w:jc w:val="center"/>
              <w:rPr>
                <w:rFonts w:hint="eastAsia"/>
                <w:b/>
                <w:bCs/>
                <w:color w:val="auto"/>
                <w:sz w:val="21"/>
                <w:szCs w:val="21"/>
                <w:vertAlign w:val="baseline"/>
                <w:lang w:eastAsia="zh-CN"/>
              </w:rPr>
            </w:pPr>
            <w:r>
              <w:rPr>
                <w:rFonts w:hint="eastAsia"/>
                <w:b/>
                <w:bCs/>
                <w:color w:val="auto"/>
                <w:sz w:val="21"/>
                <w:szCs w:val="21"/>
                <w:vertAlign w:val="baseline"/>
                <w:lang w:eastAsia="zh-CN"/>
              </w:rPr>
              <w:t>项目名称</w:t>
            </w:r>
          </w:p>
        </w:tc>
        <w:tc>
          <w:tcPr>
            <w:tcW w:w="1077" w:type="dxa"/>
            <w:tcBorders>
              <w:tl2br w:val="nil"/>
              <w:tr2bl w:val="nil"/>
            </w:tcBorders>
            <w:vAlign w:val="center"/>
          </w:tcPr>
          <w:p>
            <w:pPr>
              <w:spacing w:line="440" w:lineRule="exact"/>
              <w:jc w:val="center"/>
              <w:rPr>
                <w:rFonts w:hint="eastAsia"/>
                <w:b/>
                <w:bCs/>
                <w:color w:val="auto"/>
                <w:sz w:val="21"/>
                <w:szCs w:val="21"/>
                <w:vertAlign w:val="baseline"/>
                <w:lang w:eastAsia="zh-CN"/>
              </w:rPr>
            </w:pPr>
            <w:r>
              <w:rPr>
                <w:rFonts w:hint="eastAsia"/>
                <w:b/>
                <w:bCs/>
                <w:color w:val="auto"/>
                <w:sz w:val="21"/>
                <w:szCs w:val="21"/>
                <w:vertAlign w:val="baseline"/>
                <w:lang w:eastAsia="zh-CN"/>
              </w:rPr>
              <w:t>施工面积（㎡）</w:t>
            </w:r>
          </w:p>
        </w:tc>
        <w:tc>
          <w:tcPr>
            <w:tcW w:w="1091" w:type="dxa"/>
            <w:tcBorders>
              <w:tl2br w:val="nil"/>
              <w:tr2bl w:val="nil"/>
            </w:tcBorders>
            <w:vAlign w:val="center"/>
          </w:tcPr>
          <w:p>
            <w:pPr>
              <w:spacing w:line="440" w:lineRule="exact"/>
              <w:jc w:val="center"/>
              <w:rPr>
                <w:rFonts w:hint="eastAsia"/>
                <w:b/>
                <w:bCs/>
                <w:color w:val="auto"/>
                <w:sz w:val="21"/>
                <w:szCs w:val="21"/>
                <w:vertAlign w:val="baseline"/>
                <w:lang w:eastAsia="zh-CN"/>
              </w:rPr>
            </w:pPr>
            <w:r>
              <w:rPr>
                <w:rFonts w:hint="eastAsia"/>
                <w:b/>
                <w:bCs/>
                <w:color w:val="auto"/>
                <w:sz w:val="21"/>
                <w:szCs w:val="21"/>
                <w:vertAlign w:val="baseline"/>
                <w:lang w:eastAsia="zh-CN"/>
              </w:rPr>
              <w:t>所用防水材料</w:t>
            </w:r>
          </w:p>
        </w:tc>
        <w:tc>
          <w:tcPr>
            <w:tcW w:w="1064" w:type="dxa"/>
            <w:tcBorders>
              <w:tl2br w:val="nil"/>
              <w:tr2bl w:val="nil"/>
            </w:tcBorders>
            <w:vAlign w:val="center"/>
          </w:tcPr>
          <w:p>
            <w:pPr>
              <w:spacing w:line="440" w:lineRule="exact"/>
              <w:jc w:val="center"/>
              <w:rPr>
                <w:rFonts w:hint="eastAsia"/>
                <w:b/>
                <w:bCs/>
                <w:color w:val="auto"/>
                <w:sz w:val="21"/>
                <w:szCs w:val="21"/>
                <w:vertAlign w:val="baseline"/>
                <w:lang w:eastAsia="zh-CN"/>
              </w:rPr>
            </w:pPr>
            <w:r>
              <w:rPr>
                <w:rFonts w:hint="eastAsia"/>
                <w:b/>
                <w:bCs/>
                <w:color w:val="auto"/>
                <w:sz w:val="21"/>
                <w:szCs w:val="21"/>
                <w:vertAlign w:val="baseline"/>
                <w:lang w:eastAsia="zh-CN"/>
              </w:rPr>
              <w:t>材料厚度</w:t>
            </w:r>
          </w:p>
          <w:p>
            <w:pPr>
              <w:spacing w:line="440" w:lineRule="exact"/>
              <w:jc w:val="center"/>
              <w:rPr>
                <w:rFonts w:hint="eastAsia"/>
                <w:b/>
                <w:bCs/>
                <w:color w:val="auto"/>
                <w:sz w:val="21"/>
                <w:szCs w:val="21"/>
                <w:vertAlign w:val="baseline"/>
                <w:lang w:eastAsia="zh-CN"/>
              </w:rPr>
            </w:pPr>
            <w:r>
              <w:rPr>
                <w:rFonts w:hint="eastAsia"/>
                <w:b/>
                <w:bCs/>
                <w:color w:val="auto"/>
                <w:sz w:val="21"/>
                <w:szCs w:val="21"/>
                <w:vertAlign w:val="baseline"/>
                <w:lang w:eastAsia="zh-CN"/>
              </w:rPr>
              <w:t>（</w:t>
            </w:r>
            <w:r>
              <w:rPr>
                <w:rFonts w:hint="eastAsia"/>
                <w:b/>
                <w:bCs/>
                <w:color w:val="auto"/>
                <w:sz w:val="21"/>
                <w:szCs w:val="21"/>
                <w:vertAlign w:val="baseline"/>
                <w:lang w:val="en-US" w:eastAsia="zh-CN"/>
              </w:rPr>
              <w:t>mm</w:t>
            </w:r>
            <w:r>
              <w:rPr>
                <w:rFonts w:hint="eastAsia"/>
                <w:b/>
                <w:bCs/>
                <w:color w:val="auto"/>
                <w:sz w:val="21"/>
                <w:szCs w:val="21"/>
                <w:vertAlign w:val="baseline"/>
                <w:lang w:eastAsia="zh-CN"/>
              </w:rPr>
              <w:t>）</w:t>
            </w:r>
          </w:p>
        </w:tc>
        <w:tc>
          <w:tcPr>
            <w:tcW w:w="818" w:type="dxa"/>
            <w:tcBorders>
              <w:tl2br w:val="nil"/>
              <w:tr2bl w:val="nil"/>
            </w:tcBorders>
            <w:vAlign w:val="center"/>
          </w:tcPr>
          <w:p>
            <w:pPr>
              <w:spacing w:line="440" w:lineRule="exact"/>
              <w:jc w:val="center"/>
              <w:rPr>
                <w:rFonts w:hint="eastAsia"/>
                <w:b/>
                <w:bCs/>
                <w:color w:val="auto"/>
                <w:sz w:val="21"/>
                <w:szCs w:val="21"/>
                <w:vertAlign w:val="baseline"/>
                <w:lang w:eastAsia="zh-CN"/>
              </w:rPr>
            </w:pPr>
            <w:r>
              <w:rPr>
                <w:rFonts w:hint="eastAsia"/>
                <w:b/>
                <w:bCs/>
                <w:color w:val="auto"/>
                <w:sz w:val="21"/>
                <w:szCs w:val="21"/>
                <w:vertAlign w:val="baseline"/>
                <w:lang w:eastAsia="zh-CN"/>
              </w:rPr>
              <w:t>竣工</w:t>
            </w:r>
            <w:r>
              <w:rPr>
                <w:rFonts w:hint="eastAsia"/>
                <w:b/>
                <w:bCs/>
                <w:color w:val="auto"/>
                <w:sz w:val="21"/>
                <w:szCs w:val="21"/>
                <w:vertAlign w:val="baseline"/>
                <w:lang w:val="en-US" w:eastAsia="zh-CN"/>
              </w:rPr>
              <w:t xml:space="preserve"> </w:t>
            </w:r>
            <w:r>
              <w:rPr>
                <w:rFonts w:hint="eastAsia"/>
                <w:b/>
                <w:bCs/>
                <w:color w:val="auto"/>
                <w:sz w:val="21"/>
                <w:szCs w:val="21"/>
                <w:vertAlign w:val="baseline"/>
                <w:lang w:eastAsia="zh-CN"/>
              </w:rPr>
              <w:t>时间</w:t>
            </w:r>
          </w:p>
        </w:tc>
        <w:tc>
          <w:tcPr>
            <w:tcW w:w="1077" w:type="dxa"/>
            <w:tcBorders>
              <w:tl2br w:val="nil"/>
              <w:tr2bl w:val="nil"/>
            </w:tcBorders>
            <w:vAlign w:val="center"/>
          </w:tcPr>
          <w:p>
            <w:pPr>
              <w:spacing w:line="440" w:lineRule="exact"/>
              <w:jc w:val="center"/>
              <w:rPr>
                <w:rFonts w:hint="eastAsia"/>
                <w:b/>
                <w:bCs/>
                <w:color w:val="auto"/>
                <w:sz w:val="21"/>
                <w:szCs w:val="21"/>
                <w:vertAlign w:val="baseline"/>
                <w:lang w:eastAsia="zh-CN"/>
              </w:rPr>
            </w:pPr>
            <w:r>
              <w:rPr>
                <w:rFonts w:hint="eastAsia"/>
                <w:b/>
                <w:bCs/>
                <w:color w:val="auto"/>
                <w:sz w:val="21"/>
                <w:szCs w:val="21"/>
                <w:vertAlign w:val="baseline"/>
                <w:lang w:eastAsia="zh-CN"/>
              </w:rPr>
              <w:t>已投入使用年限</w:t>
            </w:r>
          </w:p>
        </w:tc>
        <w:tc>
          <w:tcPr>
            <w:tcW w:w="1295" w:type="dxa"/>
            <w:tcBorders>
              <w:tl2br w:val="nil"/>
              <w:tr2bl w:val="nil"/>
            </w:tcBorders>
            <w:vAlign w:val="center"/>
          </w:tcPr>
          <w:p>
            <w:pPr>
              <w:spacing w:line="440" w:lineRule="exact"/>
              <w:jc w:val="center"/>
              <w:rPr>
                <w:rFonts w:hint="eastAsia"/>
                <w:b/>
                <w:bCs/>
                <w:color w:val="auto"/>
                <w:sz w:val="21"/>
                <w:szCs w:val="21"/>
                <w:vertAlign w:val="baseline"/>
                <w:lang w:eastAsia="zh-CN"/>
              </w:rPr>
            </w:pPr>
            <w:r>
              <w:rPr>
                <w:rFonts w:hint="eastAsia"/>
                <w:b/>
                <w:bCs/>
                <w:color w:val="auto"/>
                <w:sz w:val="21"/>
                <w:szCs w:val="21"/>
                <w:vertAlign w:val="baseline"/>
                <w:lang w:eastAsia="zh-CN"/>
              </w:rPr>
              <w:t>目前防水层状态</w:t>
            </w:r>
          </w:p>
        </w:tc>
        <w:tc>
          <w:tcPr>
            <w:tcW w:w="4875" w:type="dxa"/>
            <w:tcBorders>
              <w:tl2br w:val="nil"/>
              <w:tr2bl w:val="nil"/>
            </w:tcBorders>
            <w:vAlign w:val="center"/>
          </w:tcPr>
          <w:p>
            <w:pPr>
              <w:spacing w:line="440" w:lineRule="exact"/>
              <w:jc w:val="center"/>
              <w:rPr>
                <w:rFonts w:hint="eastAsia"/>
                <w:b/>
                <w:bCs/>
                <w:color w:val="auto"/>
                <w:sz w:val="21"/>
                <w:szCs w:val="21"/>
                <w:vertAlign w:val="baseline"/>
                <w:lang w:eastAsia="zh-CN"/>
              </w:rPr>
            </w:pPr>
            <w:r>
              <w:rPr>
                <w:rFonts w:hint="eastAsia"/>
                <w:b/>
                <w:bCs/>
                <w:color w:val="auto"/>
                <w:sz w:val="21"/>
                <w:szCs w:val="21"/>
                <w:vertAlign w:val="baseline"/>
                <w:lang w:eastAsia="zh-CN"/>
              </w:rPr>
              <w:t>现状照片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1" w:hRule="atLeast"/>
          <w:jc w:val="center"/>
        </w:trPr>
        <w:tc>
          <w:tcPr>
            <w:tcW w:w="729" w:type="dxa"/>
            <w:tcBorders>
              <w:tl2br w:val="nil"/>
              <w:tr2bl w:val="nil"/>
            </w:tcBorders>
            <w:vAlign w:val="center"/>
          </w:tcPr>
          <w:p>
            <w:pPr>
              <w:spacing w:line="440" w:lineRule="exact"/>
              <w:jc w:val="center"/>
              <w:rPr>
                <w:rFonts w:hint="default"/>
                <w:b w:val="0"/>
                <w:bCs w:val="0"/>
                <w:color w:val="auto"/>
                <w:sz w:val="18"/>
                <w:szCs w:val="18"/>
                <w:vertAlign w:val="baseline"/>
                <w:lang w:val="en-US" w:eastAsia="zh-CN"/>
              </w:rPr>
            </w:pPr>
            <w:r>
              <w:rPr>
                <w:rFonts w:hint="eastAsia"/>
                <w:b w:val="0"/>
                <w:bCs w:val="0"/>
                <w:color w:val="auto"/>
                <w:sz w:val="18"/>
                <w:szCs w:val="18"/>
                <w:vertAlign w:val="baseline"/>
                <w:lang w:val="en-US" w:eastAsia="zh-CN"/>
              </w:rPr>
              <w:t>1</w:t>
            </w:r>
          </w:p>
        </w:tc>
        <w:tc>
          <w:tcPr>
            <w:tcW w:w="1718" w:type="dxa"/>
            <w:tcBorders>
              <w:tl2br w:val="nil"/>
              <w:tr2bl w:val="nil"/>
            </w:tcBorders>
            <w:vAlign w:val="center"/>
          </w:tcPr>
          <w:p>
            <w:pPr>
              <w:keepNext w:val="0"/>
              <w:keepLines w:val="0"/>
              <w:widowControl/>
              <w:suppressLineNumbers w:val="0"/>
              <w:spacing w:line="440" w:lineRule="exact"/>
              <w:jc w:val="center"/>
              <w:textAlignment w:val="center"/>
              <w:rPr>
                <w:rFonts w:hint="default"/>
                <w:b w:val="0"/>
                <w:bCs w:val="0"/>
                <w:color w:val="auto"/>
                <w:sz w:val="18"/>
                <w:szCs w:val="18"/>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济南泉城广场</w:t>
            </w:r>
          </w:p>
        </w:tc>
        <w:tc>
          <w:tcPr>
            <w:tcW w:w="1077" w:type="dxa"/>
            <w:tcBorders>
              <w:tl2br w:val="nil"/>
              <w:tr2bl w:val="nil"/>
            </w:tcBorders>
            <w:vAlign w:val="center"/>
          </w:tcPr>
          <w:p>
            <w:pPr>
              <w:keepNext w:val="0"/>
              <w:keepLines w:val="0"/>
              <w:widowControl/>
              <w:suppressLineNumbers w:val="0"/>
              <w:spacing w:line="440" w:lineRule="exact"/>
              <w:jc w:val="center"/>
              <w:textAlignment w:val="center"/>
              <w:rPr>
                <w:rFonts w:hint="default"/>
                <w:b w:val="0"/>
                <w:bCs w:val="0"/>
                <w:color w:val="auto"/>
                <w:sz w:val="18"/>
                <w:szCs w:val="18"/>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280000</w:t>
            </w:r>
          </w:p>
        </w:tc>
        <w:tc>
          <w:tcPr>
            <w:tcW w:w="1091" w:type="dxa"/>
            <w:tcBorders>
              <w:tl2br w:val="nil"/>
              <w:tr2bl w:val="nil"/>
            </w:tcBorders>
            <w:vAlign w:val="center"/>
          </w:tcPr>
          <w:p>
            <w:pPr>
              <w:keepNext w:val="0"/>
              <w:keepLines w:val="0"/>
              <w:widowControl/>
              <w:suppressLineNumbers w:val="0"/>
              <w:spacing w:line="440" w:lineRule="exact"/>
              <w:jc w:val="center"/>
              <w:textAlignment w:val="center"/>
              <w:rPr>
                <w:rFonts w:hint="default"/>
                <w:b w:val="0"/>
                <w:bCs w:val="0"/>
                <w:color w:val="auto"/>
                <w:sz w:val="18"/>
                <w:szCs w:val="18"/>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PVC</w:t>
            </w:r>
          </w:p>
        </w:tc>
        <w:tc>
          <w:tcPr>
            <w:tcW w:w="1064" w:type="dxa"/>
            <w:tcBorders>
              <w:tl2br w:val="nil"/>
              <w:tr2bl w:val="nil"/>
            </w:tcBorders>
            <w:vAlign w:val="center"/>
          </w:tcPr>
          <w:p>
            <w:pPr>
              <w:keepNext w:val="0"/>
              <w:keepLines w:val="0"/>
              <w:widowControl/>
              <w:suppressLineNumbers w:val="0"/>
              <w:spacing w:line="440" w:lineRule="exact"/>
              <w:jc w:val="center"/>
              <w:textAlignment w:val="center"/>
              <w:rPr>
                <w:rFonts w:hint="default"/>
                <w:b w:val="0"/>
                <w:bCs w:val="0"/>
                <w:color w:val="auto"/>
                <w:sz w:val="18"/>
                <w:szCs w:val="18"/>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1.5mm</w:t>
            </w:r>
          </w:p>
        </w:tc>
        <w:tc>
          <w:tcPr>
            <w:tcW w:w="818" w:type="dxa"/>
            <w:tcBorders>
              <w:tl2br w:val="nil"/>
              <w:tr2bl w:val="nil"/>
            </w:tcBorders>
            <w:vAlign w:val="center"/>
          </w:tcPr>
          <w:p>
            <w:pPr>
              <w:keepNext w:val="0"/>
              <w:keepLines w:val="0"/>
              <w:widowControl/>
              <w:suppressLineNumbers w:val="0"/>
              <w:spacing w:line="440" w:lineRule="exact"/>
              <w:jc w:val="center"/>
              <w:textAlignment w:val="center"/>
              <w:rPr>
                <w:rFonts w:hint="default"/>
                <w:b w:val="0"/>
                <w:bCs w:val="0"/>
                <w:color w:val="auto"/>
                <w:sz w:val="18"/>
                <w:szCs w:val="18"/>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1999</w:t>
            </w:r>
          </w:p>
        </w:tc>
        <w:tc>
          <w:tcPr>
            <w:tcW w:w="1077"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23</w:t>
            </w:r>
          </w:p>
        </w:tc>
        <w:tc>
          <w:tcPr>
            <w:tcW w:w="1295" w:type="dxa"/>
            <w:tcBorders>
              <w:tl2br w:val="nil"/>
              <w:tr2bl w:val="nil"/>
            </w:tcBorders>
            <w:vAlign w:val="center"/>
          </w:tcPr>
          <w:p>
            <w:pPr>
              <w:keepNext w:val="0"/>
              <w:keepLines w:val="0"/>
              <w:widowControl/>
              <w:suppressLineNumbers w:val="0"/>
              <w:spacing w:line="440" w:lineRule="exact"/>
              <w:jc w:val="center"/>
              <w:textAlignment w:val="center"/>
              <w:rPr>
                <w:rFonts w:hint="eastAsia"/>
                <w:b w:val="0"/>
                <w:bCs w:val="0"/>
                <w:color w:val="auto"/>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防水系统无渗漏</w:t>
            </w:r>
          </w:p>
        </w:tc>
        <w:tc>
          <w:tcPr>
            <w:tcW w:w="4875" w:type="dxa"/>
            <w:tcBorders>
              <w:tl2br w:val="nil"/>
              <w:tr2bl w:val="nil"/>
            </w:tcBorders>
            <w:vAlign w:val="center"/>
          </w:tcPr>
          <w:p>
            <w:pPr>
              <w:spacing w:line="240" w:lineRule="auto"/>
              <w:jc w:val="center"/>
              <w:rPr>
                <w:rFonts w:hint="eastAsia"/>
                <w:b w:val="0"/>
                <w:bCs w:val="0"/>
                <w:color w:val="auto"/>
                <w:sz w:val="18"/>
                <w:szCs w:val="18"/>
                <w:vertAlign w:val="baseline"/>
                <w:lang w:eastAsia="zh-CN"/>
              </w:rPr>
            </w:pPr>
            <w:r>
              <w:drawing>
                <wp:inline distT="0" distB="0" distL="114300" distR="114300">
                  <wp:extent cx="2844800" cy="1882140"/>
                  <wp:effectExtent l="0" t="0" r="12700" b="3810"/>
                  <wp:docPr id="1051"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51" name="Picture Placeholder 6"/>
                          <pic:cNvPicPr>
                            <a:picLocks noGrp="1" noChangeAspect="1"/>
                          </pic:cNvPicPr>
                        </pic:nvPicPr>
                        <pic:blipFill>
                          <a:blip r:embed="rId9"/>
                          <a:srcRect l="4800" r="4800" b="16304"/>
                          <a:stretch>
                            <a:fillRect/>
                          </a:stretch>
                        </pic:blipFill>
                        <pic:spPr>
                          <a:xfrm>
                            <a:off x="0" y="0"/>
                            <a:ext cx="2844800" cy="1882140"/>
                          </a:xfrm>
                          <a:prstGeom prst="rect">
                            <a:avLst/>
                          </a:prstGeom>
                          <a:noFill/>
                          <a:ln w="9525">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729" w:type="dxa"/>
            <w:tcBorders>
              <w:tl2br w:val="nil"/>
              <w:tr2bl w:val="nil"/>
            </w:tcBorders>
            <w:vAlign w:val="center"/>
          </w:tcPr>
          <w:p>
            <w:pPr>
              <w:spacing w:line="440" w:lineRule="exact"/>
              <w:jc w:val="center"/>
              <w:rPr>
                <w:rFonts w:hint="default"/>
                <w:b w:val="0"/>
                <w:bCs w:val="0"/>
                <w:color w:val="auto"/>
                <w:sz w:val="18"/>
                <w:szCs w:val="18"/>
                <w:vertAlign w:val="baseline"/>
                <w:lang w:val="en-US" w:eastAsia="zh-CN"/>
              </w:rPr>
            </w:pPr>
            <w:r>
              <w:rPr>
                <w:rFonts w:hint="eastAsia"/>
                <w:b w:val="0"/>
                <w:bCs w:val="0"/>
                <w:color w:val="auto"/>
                <w:sz w:val="18"/>
                <w:szCs w:val="18"/>
                <w:vertAlign w:val="baseline"/>
                <w:lang w:val="en-US" w:eastAsia="zh-CN"/>
              </w:rPr>
              <w:t>2</w:t>
            </w:r>
          </w:p>
        </w:tc>
        <w:tc>
          <w:tcPr>
            <w:tcW w:w="1718" w:type="dxa"/>
            <w:tcBorders>
              <w:tl2br w:val="nil"/>
              <w:tr2bl w:val="nil"/>
            </w:tcBorders>
            <w:vAlign w:val="center"/>
          </w:tcPr>
          <w:p>
            <w:pPr>
              <w:keepNext w:val="0"/>
              <w:keepLines w:val="0"/>
              <w:widowControl/>
              <w:suppressLineNumbers w:val="0"/>
              <w:spacing w:line="440" w:lineRule="exact"/>
              <w:jc w:val="center"/>
              <w:textAlignment w:val="center"/>
              <w:rPr>
                <w:rFonts w:hint="eastAsia"/>
                <w:b/>
                <w:bCs/>
                <w:color w:val="auto"/>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华南师大体育馆</w:t>
            </w:r>
          </w:p>
        </w:tc>
        <w:tc>
          <w:tcPr>
            <w:tcW w:w="1077" w:type="dxa"/>
            <w:tcBorders>
              <w:tl2br w:val="nil"/>
              <w:tr2bl w:val="nil"/>
            </w:tcBorders>
            <w:vAlign w:val="center"/>
          </w:tcPr>
          <w:p>
            <w:pPr>
              <w:keepNext w:val="0"/>
              <w:keepLines w:val="0"/>
              <w:widowControl/>
              <w:suppressLineNumbers w:val="0"/>
              <w:spacing w:line="440" w:lineRule="exact"/>
              <w:jc w:val="center"/>
              <w:textAlignment w:val="center"/>
              <w:rPr>
                <w:rFonts w:hint="eastAsia"/>
                <w:b/>
                <w:bCs/>
                <w:color w:val="auto"/>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12000</w:t>
            </w:r>
          </w:p>
        </w:tc>
        <w:tc>
          <w:tcPr>
            <w:tcW w:w="1091" w:type="dxa"/>
            <w:tcBorders>
              <w:tl2br w:val="nil"/>
              <w:tr2bl w:val="nil"/>
            </w:tcBorders>
            <w:vAlign w:val="center"/>
          </w:tcPr>
          <w:p>
            <w:pPr>
              <w:keepNext w:val="0"/>
              <w:keepLines w:val="0"/>
              <w:widowControl/>
              <w:suppressLineNumbers w:val="0"/>
              <w:spacing w:line="440" w:lineRule="exact"/>
              <w:jc w:val="center"/>
              <w:textAlignment w:val="center"/>
              <w:rPr>
                <w:rFonts w:hint="eastAsia"/>
                <w:b/>
                <w:bCs/>
                <w:color w:val="auto"/>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PVC</w:t>
            </w:r>
          </w:p>
        </w:tc>
        <w:tc>
          <w:tcPr>
            <w:tcW w:w="1064" w:type="dxa"/>
            <w:tcBorders>
              <w:tl2br w:val="nil"/>
              <w:tr2bl w:val="nil"/>
            </w:tcBorders>
            <w:vAlign w:val="center"/>
          </w:tcPr>
          <w:p>
            <w:pPr>
              <w:keepNext w:val="0"/>
              <w:keepLines w:val="0"/>
              <w:widowControl/>
              <w:suppressLineNumbers w:val="0"/>
              <w:spacing w:line="440" w:lineRule="exact"/>
              <w:jc w:val="center"/>
              <w:textAlignment w:val="center"/>
              <w:rPr>
                <w:rFonts w:hint="eastAsia"/>
                <w:b/>
                <w:bCs/>
                <w:color w:val="auto"/>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1.5mm</w:t>
            </w:r>
          </w:p>
        </w:tc>
        <w:tc>
          <w:tcPr>
            <w:tcW w:w="818" w:type="dxa"/>
            <w:tcBorders>
              <w:tl2br w:val="nil"/>
              <w:tr2bl w:val="nil"/>
            </w:tcBorders>
            <w:vAlign w:val="center"/>
          </w:tcPr>
          <w:p>
            <w:pPr>
              <w:keepNext w:val="0"/>
              <w:keepLines w:val="0"/>
              <w:widowControl/>
              <w:suppressLineNumbers w:val="0"/>
              <w:spacing w:line="440" w:lineRule="exact"/>
              <w:jc w:val="center"/>
              <w:textAlignment w:val="center"/>
              <w:rPr>
                <w:rFonts w:hint="eastAsia"/>
                <w:b/>
                <w:bCs/>
                <w:color w:val="auto"/>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2006</w:t>
            </w:r>
          </w:p>
        </w:tc>
        <w:tc>
          <w:tcPr>
            <w:tcW w:w="1077"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16</w:t>
            </w:r>
          </w:p>
        </w:tc>
        <w:tc>
          <w:tcPr>
            <w:tcW w:w="1295" w:type="dxa"/>
            <w:tcBorders>
              <w:tl2br w:val="nil"/>
              <w:tr2bl w:val="nil"/>
            </w:tcBorders>
            <w:vAlign w:val="center"/>
          </w:tcPr>
          <w:p>
            <w:pPr>
              <w:keepNext w:val="0"/>
              <w:keepLines w:val="0"/>
              <w:widowControl/>
              <w:suppressLineNumbers w:val="0"/>
              <w:spacing w:line="440" w:lineRule="exact"/>
              <w:jc w:val="left"/>
              <w:textAlignment w:val="center"/>
              <w:rPr>
                <w:rFonts w:hint="eastAsia"/>
                <w:b/>
                <w:bCs/>
                <w:color w:val="auto"/>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防水系统无渗漏，防水层表观良好无破损，细部防水处理无异常</w:t>
            </w:r>
          </w:p>
        </w:tc>
        <w:tc>
          <w:tcPr>
            <w:tcW w:w="4875" w:type="dxa"/>
            <w:tcBorders>
              <w:tl2br w:val="nil"/>
              <w:tr2bl w:val="nil"/>
            </w:tcBorders>
            <w:vAlign w:val="center"/>
          </w:tcPr>
          <w:p>
            <w:pPr>
              <w:spacing w:line="240" w:lineRule="auto"/>
              <w:jc w:val="center"/>
              <w:rPr>
                <w:rFonts w:hint="eastAsia"/>
                <w:b/>
                <w:bCs/>
                <w:color w:val="auto"/>
                <w:sz w:val="18"/>
                <w:szCs w:val="18"/>
                <w:vertAlign w:val="baseline"/>
                <w:lang w:eastAsia="zh-CN"/>
              </w:rPr>
            </w:pPr>
            <w:r>
              <w:drawing>
                <wp:inline distT="0" distB="0" distL="114300" distR="114300">
                  <wp:extent cx="2880360" cy="1939290"/>
                  <wp:effectExtent l="0" t="0" r="15240" b="3810"/>
                  <wp:docPr id="10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3"/>
                          <pic:cNvPicPr>
                            <a:picLocks noChangeAspect="1"/>
                          </pic:cNvPicPr>
                        </pic:nvPicPr>
                        <pic:blipFill>
                          <a:blip r:embed="rId10"/>
                          <a:stretch>
                            <a:fillRect/>
                          </a:stretch>
                        </pic:blipFill>
                        <pic:spPr>
                          <a:xfrm>
                            <a:off x="0" y="0"/>
                            <a:ext cx="2880360" cy="1939290"/>
                          </a:xfrm>
                          <a:prstGeom prst="rect">
                            <a:avLst/>
                          </a:prstGeom>
                          <a:noFill/>
                          <a:ln w="9525">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729" w:type="dxa"/>
            <w:tcBorders>
              <w:tl2br w:val="nil"/>
              <w:tr2bl w:val="nil"/>
            </w:tcBorders>
            <w:vAlign w:val="center"/>
          </w:tcPr>
          <w:p>
            <w:pPr>
              <w:spacing w:line="440" w:lineRule="exact"/>
              <w:jc w:val="center"/>
              <w:rPr>
                <w:rFonts w:hint="default"/>
                <w:b w:val="0"/>
                <w:bCs w:val="0"/>
                <w:color w:val="auto"/>
                <w:sz w:val="18"/>
                <w:szCs w:val="18"/>
                <w:vertAlign w:val="baseline"/>
                <w:lang w:val="en-US" w:eastAsia="zh-CN"/>
              </w:rPr>
            </w:pPr>
            <w:r>
              <w:rPr>
                <w:rFonts w:hint="eastAsia"/>
                <w:b w:val="0"/>
                <w:bCs w:val="0"/>
                <w:color w:val="auto"/>
                <w:sz w:val="18"/>
                <w:szCs w:val="18"/>
                <w:vertAlign w:val="baseline"/>
                <w:lang w:val="en-US" w:eastAsia="zh-CN"/>
              </w:rPr>
              <w:t>3</w:t>
            </w:r>
          </w:p>
        </w:tc>
        <w:tc>
          <w:tcPr>
            <w:tcW w:w="1718" w:type="dxa"/>
            <w:tcBorders>
              <w:tl2br w:val="nil"/>
              <w:tr2bl w:val="nil"/>
            </w:tcBorders>
            <w:vAlign w:val="center"/>
          </w:tcPr>
          <w:p>
            <w:pPr>
              <w:keepNext w:val="0"/>
              <w:keepLines w:val="0"/>
              <w:widowControl/>
              <w:suppressLineNumbers w:val="0"/>
              <w:spacing w:line="440" w:lineRule="exact"/>
              <w:jc w:val="center"/>
              <w:textAlignment w:val="center"/>
              <w:rPr>
                <w:rFonts w:hint="eastAsia"/>
                <w:b/>
                <w:bCs/>
                <w:color w:val="auto"/>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上海虹桥机场2号航站楼</w:t>
            </w:r>
          </w:p>
        </w:tc>
        <w:tc>
          <w:tcPr>
            <w:tcW w:w="1077" w:type="dxa"/>
            <w:tcBorders>
              <w:tl2br w:val="nil"/>
              <w:tr2bl w:val="nil"/>
            </w:tcBorders>
            <w:vAlign w:val="center"/>
          </w:tcPr>
          <w:p>
            <w:pPr>
              <w:keepNext w:val="0"/>
              <w:keepLines w:val="0"/>
              <w:widowControl/>
              <w:suppressLineNumbers w:val="0"/>
              <w:spacing w:line="440" w:lineRule="exact"/>
              <w:jc w:val="center"/>
              <w:textAlignment w:val="center"/>
              <w:rPr>
                <w:rFonts w:hint="eastAsia"/>
                <w:b/>
                <w:bCs/>
                <w:color w:val="auto"/>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131000</w:t>
            </w:r>
          </w:p>
        </w:tc>
        <w:tc>
          <w:tcPr>
            <w:tcW w:w="1091" w:type="dxa"/>
            <w:tcBorders>
              <w:tl2br w:val="nil"/>
              <w:tr2bl w:val="nil"/>
            </w:tcBorders>
            <w:vAlign w:val="center"/>
          </w:tcPr>
          <w:p>
            <w:pPr>
              <w:keepNext w:val="0"/>
              <w:keepLines w:val="0"/>
              <w:widowControl/>
              <w:suppressLineNumbers w:val="0"/>
              <w:spacing w:line="440" w:lineRule="exact"/>
              <w:jc w:val="center"/>
              <w:textAlignment w:val="center"/>
              <w:rPr>
                <w:rFonts w:hint="eastAsia"/>
                <w:b/>
                <w:bCs/>
                <w:color w:val="auto"/>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PVC</w:t>
            </w:r>
          </w:p>
        </w:tc>
        <w:tc>
          <w:tcPr>
            <w:tcW w:w="1064" w:type="dxa"/>
            <w:tcBorders>
              <w:tl2br w:val="nil"/>
              <w:tr2bl w:val="nil"/>
            </w:tcBorders>
            <w:vAlign w:val="center"/>
          </w:tcPr>
          <w:p>
            <w:pPr>
              <w:keepNext w:val="0"/>
              <w:keepLines w:val="0"/>
              <w:widowControl/>
              <w:suppressLineNumbers w:val="0"/>
              <w:spacing w:line="440" w:lineRule="exact"/>
              <w:jc w:val="center"/>
              <w:textAlignment w:val="center"/>
              <w:rPr>
                <w:rFonts w:hint="eastAsia"/>
                <w:b/>
                <w:bCs/>
                <w:color w:val="auto"/>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1.5mm</w:t>
            </w:r>
          </w:p>
        </w:tc>
        <w:tc>
          <w:tcPr>
            <w:tcW w:w="818" w:type="dxa"/>
            <w:tcBorders>
              <w:tl2br w:val="nil"/>
              <w:tr2bl w:val="nil"/>
            </w:tcBorders>
            <w:vAlign w:val="center"/>
          </w:tcPr>
          <w:p>
            <w:pPr>
              <w:keepNext w:val="0"/>
              <w:keepLines w:val="0"/>
              <w:widowControl/>
              <w:suppressLineNumbers w:val="0"/>
              <w:spacing w:line="440" w:lineRule="exact"/>
              <w:jc w:val="center"/>
              <w:textAlignment w:val="center"/>
              <w:rPr>
                <w:rFonts w:hint="eastAsia"/>
                <w:b/>
                <w:bCs/>
                <w:color w:val="auto"/>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2009</w:t>
            </w:r>
          </w:p>
        </w:tc>
        <w:tc>
          <w:tcPr>
            <w:tcW w:w="1077"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13</w:t>
            </w:r>
          </w:p>
        </w:tc>
        <w:tc>
          <w:tcPr>
            <w:tcW w:w="1295" w:type="dxa"/>
            <w:tcBorders>
              <w:tl2br w:val="nil"/>
              <w:tr2bl w:val="nil"/>
            </w:tcBorders>
            <w:vAlign w:val="center"/>
          </w:tcPr>
          <w:p>
            <w:pPr>
              <w:keepNext w:val="0"/>
              <w:keepLines w:val="0"/>
              <w:widowControl/>
              <w:suppressLineNumbers w:val="0"/>
              <w:spacing w:line="440" w:lineRule="exact"/>
              <w:jc w:val="center"/>
              <w:textAlignment w:val="center"/>
              <w:rPr>
                <w:rFonts w:hint="eastAsia"/>
                <w:b/>
                <w:bCs/>
                <w:color w:val="auto"/>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防水系统无渗漏，防水层表观良好无破损，细部防水处理无异常</w:t>
            </w:r>
          </w:p>
        </w:tc>
        <w:tc>
          <w:tcPr>
            <w:tcW w:w="4875" w:type="dxa"/>
            <w:tcBorders>
              <w:tl2br w:val="nil"/>
              <w:tr2bl w:val="nil"/>
            </w:tcBorders>
            <w:vAlign w:val="center"/>
          </w:tcPr>
          <w:p>
            <w:pPr>
              <w:spacing w:line="240" w:lineRule="auto"/>
              <w:jc w:val="center"/>
              <w:rPr>
                <w:rFonts w:hint="eastAsia"/>
                <w:b/>
                <w:bCs/>
                <w:color w:val="auto"/>
                <w:sz w:val="18"/>
                <w:szCs w:val="18"/>
                <w:vertAlign w:val="baseline"/>
                <w:lang w:eastAsia="zh-CN"/>
              </w:rPr>
            </w:pPr>
            <w:r>
              <w:drawing>
                <wp:inline distT="0" distB="0" distL="114300" distR="114300">
                  <wp:extent cx="2781300" cy="1787525"/>
                  <wp:effectExtent l="9525" t="9525" r="9525" b="12700"/>
                  <wp:docPr id="1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2"/>
                          <pic:cNvPicPr>
                            <a:picLocks noChangeAspect="1"/>
                          </pic:cNvPicPr>
                        </pic:nvPicPr>
                        <pic:blipFill>
                          <a:blip r:embed="rId11"/>
                          <a:stretch>
                            <a:fillRect/>
                          </a:stretch>
                        </pic:blipFill>
                        <pic:spPr>
                          <a:xfrm>
                            <a:off x="0" y="0"/>
                            <a:ext cx="2781300" cy="1787525"/>
                          </a:xfrm>
                          <a:prstGeom prst="rect">
                            <a:avLst/>
                          </a:prstGeom>
                          <a:noFill/>
                          <a:ln w="9525" cap="flat" cmpd="sng">
                            <a:solidFill>
                              <a:srgbClr val="000000"/>
                            </a:solidFill>
                            <a:prstDash val="solid"/>
                            <a:miter/>
                            <a:headEnd type="none" w="med" len="med"/>
                            <a:tailEnd type="none" w="med" len="med"/>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29" w:type="dxa"/>
            <w:tcBorders>
              <w:tl2br w:val="nil"/>
              <w:tr2bl w:val="nil"/>
            </w:tcBorders>
            <w:vAlign w:val="center"/>
          </w:tcPr>
          <w:p>
            <w:pPr>
              <w:spacing w:line="440" w:lineRule="exact"/>
              <w:jc w:val="center"/>
              <w:rPr>
                <w:rFonts w:hint="default"/>
                <w:b w:val="0"/>
                <w:bCs w:val="0"/>
                <w:color w:val="auto"/>
                <w:sz w:val="18"/>
                <w:szCs w:val="18"/>
                <w:vertAlign w:val="baseline"/>
                <w:lang w:val="en-US" w:eastAsia="zh-CN"/>
              </w:rPr>
            </w:pPr>
            <w:r>
              <w:rPr>
                <w:rFonts w:hint="eastAsia"/>
                <w:b w:val="0"/>
                <w:bCs w:val="0"/>
                <w:color w:val="auto"/>
                <w:sz w:val="18"/>
                <w:szCs w:val="18"/>
                <w:vertAlign w:val="baseline"/>
                <w:lang w:val="en-US" w:eastAsia="zh-CN"/>
              </w:rPr>
              <w:t>4</w:t>
            </w:r>
          </w:p>
        </w:tc>
        <w:tc>
          <w:tcPr>
            <w:tcW w:w="1718" w:type="dxa"/>
            <w:tcBorders>
              <w:tl2br w:val="nil"/>
              <w:tr2bl w:val="nil"/>
            </w:tcBorders>
            <w:vAlign w:val="center"/>
          </w:tcPr>
          <w:p>
            <w:pPr>
              <w:keepNext w:val="0"/>
              <w:keepLines w:val="0"/>
              <w:widowControl/>
              <w:suppressLineNumbers w:val="0"/>
              <w:spacing w:line="440" w:lineRule="exact"/>
              <w:jc w:val="center"/>
              <w:textAlignment w:val="center"/>
              <w:rPr>
                <w:rFonts w:hint="default"/>
                <w:b w:val="0"/>
                <w:bCs w:val="0"/>
                <w:color w:val="000000"/>
                <w:kern w:val="0"/>
                <w:sz w:val="18"/>
                <w:szCs w:val="18"/>
                <w:u w:val="none"/>
                <w:vertAlign w:val="baseline"/>
                <w:lang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上海国际网球中心俱乐部</w:t>
            </w:r>
          </w:p>
        </w:tc>
        <w:tc>
          <w:tcPr>
            <w:tcW w:w="1077" w:type="dxa"/>
            <w:tcBorders>
              <w:tl2br w:val="nil"/>
              <w:tr2bl w:val="nil"/>
            </w:tcBorders>
            <w:vAlign w:val="center"/>
          </w:tcPr>
          <w:p>
            <w:pPr>
              <w:keepNext w:val="0"/>
              <w:keepLines w:val="0"/>
              <w:widowControl/>
              <w:suppressLineNumbers w:val="0"/>
              <w:spacing w:line="440" w:lineRule="exact"/>
              <w:jc w:val="center"/>
              <w:textAlignment w:val="center"/>
              <w:rPr>
                <w:rFonts w:hint="default"/>
                <w:b w:val="0"/>
                <w:bCs w:val="0"/>
                <w:color w:val="000000"/>
                <w:kern w:val="0"/>
                <w:sz w:val="18"/>
                <w:szCs w:val="18"/>
                <w:u w:val="none"/>
                <w:vertAlign w:val="baseline"/>
                <w:lang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2000</w:t>
            </w:r>
          </w:p>
        </w:tc>
        <w:tc>
          <w:tcPr>
            <w:tcW w:w="1091" w:type="dxa"/>
            <w:tcBorders>
              <w:tl2br w:val="nil"/>
              <w:tr2bl w:val="nil"/>
            </w:tcBorders>
            <w:vAlign w:val="center"/>
          </w:tcPr>
          <w:p>
            <w:pPr>
              <w:keepNext w:val="0"/>
              <w:keepLines w:val="0"/>
              <w:widowControl/>
              <w:suppressLineNumbers w:val="0"/>
              <w:spacing w:line="440" w:lineRule="exact"/>
              <w:jc w:val="center"/>
              <w:textAlignment w:val="center"/>
              <w:rPr>
                <w:rFonts w:hint="default"/>
                <w:b w:val="0"/>
                <w:bCs w:val="0"/>
                <w:color w:val="000000"/>
                <w:kern w:val="0"/>
                <w:sz w:val="18"/>
                <w:szCs w:val="18"/>
                <w:u w:val="none"/>
                <w:vertAlign w:val="baseline"/>
                <w:lang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 xml:space="preserve">KEE </w:t>
            </w:r>
          </w:p>
        </w:tc>
        <w:tc>
          <w:tcPr>
            <w:tcW w:w="1064" w:type="dxa"/>
            <w:tcBorders>
              <w:tl2br w:val="nil"/>
              <w:tr2bl w:val="nil"/>
            </w:tcBorders>
            <w:vAlign w:val="center"/>
          </w:tcPr>
          <w:p>
            <w:pPr>
              <w:keepNext w:val="0"/>
              <w:keepLines w:val="0"/>
              <w:widowControl/>
              <w:suppressLineNumbers w:val="0"/>
              <w:spacing w:line="440" w:lineRule="exact"/>
              <w:jc w:val="center"/>
              <w:textAlignment w:val="center"/>
              <w:rPr>
                <w:rFonts w:hint="default"/>
                <w:b w:val="0"/>
                <w:bCs w:val="0"/>
                <w:color w:val="000000"/>
                <w:kern w:val="0"/>
                <w:sz w:val="18"/>
                <w:szCs w:val="18"/>
                <w:u w:val="none"/>
                <w:vertAlign w:val="baseline"/>
                <w:lang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0.9mm</w:t>
            </w:r>
          </w:p>
        </w:tc>
        <w:tc>
          <w:tcPr>
            <w:tcW w:w="818" w:type="dxa"/>
            <w:tcBorders>
              <w:tl2br w:val="nil"/>
              <w:tr2bl w:val="nil"/>
            </w:tcBorders>
            <w:vAlign w:val="center"/>
          </w:tcPr>
          <w:p>
            <w:pPr>
              <w:keepNext w:val="0"/>
              <w:keepLines w:val="0"/>
              <w:widowControl/>
              <w:suppressLineNumbers w:val="0"/>
              <w:spacing w:line="440" w:lineRule="exact"/>
              <w:jc w:val="center"/>
              <w:textAlignment w:val="center"/>
              <w:rPr>
                <w:rFonts w:hint="default"/>
                <w:b w:val="0"/>
                <w:bCs w:val="0"/>
                <w:color w:val="000000"/>
                <w:kern w:val="0"/>
                <w:sz w:val="18"/>
                <w:szCs w:val="18"/>
                <w:u w:val="none"/>
                <w:vertAlign w:val="baseline"/>
                <w:lang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1997</w:t>
            </w:r>
          </w:p>
        </w:tc>
        <w:tc>
          <w:tcPr>
            <w:tcW w:w="1077" w:type="dxa"/>
            <w:tcBorders>
              <w:tl2br w:val="nil"/>
              <w:tr2bl w:val="nil"/>
            </w:tcBorders>
            <w:vAlign w:val="center"/>
          </w:tcPr>
          <w:p>
            <w:pPr>
              <w:keepNext w:val="0"/>
              <w:keepLines w:val="0"/>
              <w:widowControl/>
              <w:suppressLineNumbers w:val="0"/>
              <w:spacing w:line="440" w:lineRule="exact"/>
              <w:jc w:val="center"/>
              <w:textAlignment w:val="center"/>
              <w:rPr>
                <w:rFonts w:hint="default"/>
                <w:b w:val="0"/>
                <w:bCs w:val="0"/>
                <w:color w:val="000000"/>
                <w:kern w:val="0"/>
                <w:sz w:val="18"/>
                <w:szCs w:val="18"/>
                <w:u w:val="none"/>
                <w:vertAlign w:val="baseline"/>
                <w:lang w:val="en-US" w:eastAsia="zh-CN" w:bidi="ar"/>
              </w:rPr>
            </w:pPr>
            <w:r>
              <w:rPr>
                <w:rFonts w:hint="eastAsia"/>
                <w:b w:val="0"/>
                <w:bCs w:val="0"/>
                <w:color w:val="000000"/>
                <w:kern w:val="0"/>
                <w:sz w:val="18"/>
                <w:szCs w:val="18"/>
                <w:u w:val="none"/>
                <w:vertAlign w:val="baseline"/>
                <w:lang w:val="en-US" w:eastAsia="zh-CN" w:bidi="ar"/>
              </w:rPr>
              <w:t>25</w:t>
            </w:r>
          </w:p>
        </w:tc>
        <w:tc>
          <w:tcPr>
            <w:tcW w:w="1295" w:type="dxa"/>
            <w:tcBorders>
              <w:tl2br w:val="nil"/>
              <w:tr2bl w:val="nil"/>
            </w:tcBorders>
            <w:vAlign w:val="center"/>
          </w:tcPr>
          <w:p>
            <w:pPr>
              <w:widowControl/>
              <w:spacing w:line="440" w:lineRule="exact"/>
              <w:jc w:val="center"/>
              <w:textAlignment w:val="center"/>
              <w:rPr>
                <w:rFonts w:hint="default"/>
                <w:b w:val="0"/>
                <w:bCs w:val="0"/>
                <w:color w:val="000000"/>
                <w:kern w:val="0"/>
                <w:sz w:val="18"/>
                <w:szCs w:val="18"/>
                <w:u w:val="none"/>
                <w:vertAlign w:val="baseline"/>
                <w:lang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已安装25年，使用状况良好</w:t>
            </w:r>
          </w:p>
        </w:tc>
        <w:tc>
          <w:tcPr>
            <w:tcW w:w="4875" w:type="dxa"/>
            <w:tcBorders>
              <w:tl2br w:val="nil"/>
              <w:tr2bl w:val="nil"/>
            </w:tcBorders>
            <w:vAlign w:val="center"/>
          </w:tcPr>
          <w:p>
            <w:pPr>
              <w:spacing w:line="240" w:lineRule="auto"/>
              <w:jc w:val="center"/>
              <w:rPr>
                <w:rFonts w:hint="eastAsia"/>
                <w:b/>
                <w:bCs/>
                <w:color w:val="auto"/>
                <w:sz w:val="18"/>
                <w:szCs w:val="18"/>
                <w:vertAlign w:val="baseline"/>
                <w:lang w:eastAsia="zh-CN"/>
              </w:rPr>
            </w:pPr>
            <w:r>
              <w:drawing>
                <wp:inline distT="0" distB="0" distL="114300" distR="114300">
                  <wp:extent cx="2832735" cy="1913255"/>
                  <wp:effectExtent l="0" t="0" r="5715" b="10795"/>
                  <wp:docPr id="1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2"/>
                          <pic:cNvPicPr>
                            <a:picLocks noChangeAspect="1"/>
                          </pic:cNvPicPr>
                        </pic:nvPicPr>
                        <pic:blipFill>
                          <a:blip r:embed="rId12"/>
                          <a:stretch>
                            <a:fillRect/>
                          </a:stretch>
                        </pic:blipFill>
                        <pic:spPr>
                          <a:xfrm>
                            <a:off x="0" y="0"/>
                            <a:ext cx="2832735" cy="1913255"/>
                          </a:xfrm>
                          <a:prstGeom prst="rect">
                            <a:avLst/>
                          </a:prstGeom>
                          <a:noFill/>
                          <a:ln w="12700">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729" w:type="dxa"/>
            <w:tcBorders>
              <w:tl2br w:val="nil"/>
              <w:tr2bl w:val="nil"/>
            </w:tcBorders>
            <w:vAlign w:val="center"/>
          </w:tcPr>
          <w:p>
            <w:pPr>
              <w:spacing w:line="440" w:lineRule="exact"/>
              <w:jc w:val="center"/>
              <w:rPr>
                <w:rFonts w:hint="default"/>
                <w:b w:val="0"/>
                <w:bCs w:val="0"/>
                <w:color w:val="auto"/>
                <w:sz w:val="18"/>
                <w:szCs w:val="18"/>
                <w:vertAlign w:val="baseline"/>
                <w:lang w:val="en-US" w:eastAsia="zh-CN"/>
              </w:rPr>
            </w:pPr>
            <w:r>
              <w:rPr>
                <w:rFonts w:hint="eastAsia"/>
                <w:b w:val="0"/>
                <w:bCs w:val="0"/>
                <w:color w:val="auto"/>
                <w:sz w:val="18"/>
                <w:szCs w:val="18"/>
                <w:vertAlign w:val="baseline"/>
                <w:lang w:val="en-US" w:eastAsia="zh-CN"/>
              </w:rPr>
              <w:t>5</w:t>
            </w:r>
          </w:p>
        </w:tc>
        <w:tc>
          <w:tcPr>
            <w:tcW w:w="1718"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中央党校活动中心</w:t>
            </w:r>
          </w:p>
        </w:tc>
        <w:tc>
          <w:tcPr>
            <w:tcW w:w="1077"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9000</w:t>
            </w:r>
          </w:p>
        </w:tc>
        <w:tc>
          <w:tcPr>
            <w:tcW w:w="1091"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 xml:space="preserve">KEE </w:t>
            </w:r>
          </w:p>
        </w:tc>
        <w:tc>
          <w:tcPr>
            <w:tcW w:w="1064"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0.9mm</w:t>
            </w:r>
          </w:p>
        </w:tc>
        <w:tc>
          <w:tcPr>
            <w:tcW w:w="818"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2009</w:t>
            </w:r>
          </w:p>
        </w:tc>
        <w:tc>
          <w:tcPr>
            <w:tcW w:w="1077"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eastAsia" w:cs="Times New Roman"/>
                <w:b w:val="0"/>
                <w:bCs w:val="0"/>
                <w:i w:val="0"/>
                <w:iCs w:val="0"/>
                <w:color w:val="000000"/>
                <w:kern w:val="0"/>
                <w:sz w:val="18"/>
                <w:szCs w:val="18"/>
                <w:u w:val="none"/>
                <w:lang w:val="en-US" w:eastAsia="zh-CN" w:bidi="ar"/>
              </w:rPr>
              <w:t>13</w:t>
            </w:r>
          </w:p>
        </w:tc>
        <w:tc>
          <w:tcPr>
            <w:tcW w:w="1295"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使用中，状况良好</w:t>
            </w:r>
          </w:p>
        </w:tc>
        <w:tc>
          <w:tcPr>
            <w:tcW w:w="4875" w:type="dxa"/>
            <w:tcBorders>
              <w:tl2br w:val="nil"/>
              <w:tr2bl w:val="nil"/>
            </w:tcBorders>
            <w:vAlign w:val="center"/>
          </w:tcPr>
          <w:p>
            <w:pPr>
              <w:spacing w:line="240" w:lineRule="auto"/>
              <w:jc w:val="center"/>
              <w:rPr>
                <w:rFonts w:hint="eastAsia"/>
                <w:b/>
                <w:bCs/>
                <w:color w:val="auto"/>
                <w:sz w:val="18"/>
                <w:szCs w:val="18"/>
                <w:vertAlign w:val="baseline"/>
                <w:lang w:eastAsia="zh-CN"/>
              </w:rPr>
            </w:pPr>
            <w:r>
              <w:drawing>
                <wp:inline distT="0" distB="0" distL="114300" distR="114300">
                  <wp:extent cx="3096895" cy="2201545"/>
                  <wp:effectExtent l="0" t="0" r="8255" b="8255"/>
                  <wp:docPr id="1028" name="Picture 2" descr="Q:\FiberTite\Marketing\FiberTite Roof Photos\FiberTite- China Roofs\2009 - OCPC Party School - Beijing\Sports Centre-2009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2" descr="Q:\FiberTite\Marketing\FiberTite Roof Photos\FiberTite- China Roofs\2009 - OCPC Party School - Beijing\Sports Centre-200907-3.JPG"/>
                          <pic:cNvPicPr>
                            <a:picLocks noChangeAspect="1"/>
                          </pic:cNvPicPr>
                        </pic:nvPicPr>
                        <pic:blipFill>
                          <a:blip r:embed="rId13"/>
                          <a:stretch>
                            <a:fillRect/>
                          </a:stretch>
                        </pic:blipFill>
                        <pic:spPr>
                          <a:xfrm>
                            <a:off x="0" y="0"/>
                            <a:ext cx="3096895" cy="2201545"/>
                          </a:xfrm>
                          <a:prstGeom prst="rect">
                            <a:avLst/>
                          </a:prstGeom>
                          <a:noFill/>
                          <a:ln w="9525">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29" w:type="dxa"/>
            <w:tcBorders>
              <w:tl2br w:val="nil"/>
              <w:tr2bl w:val="nil"/>
            </w:tcBorders>
            <w:vAlign w:val="center"/>
          </w:tcPr>
          <w:p>
            <w:pPr>
              <w:spacing w:line="440" w:lineRule="exact"/>
              <w:jc w:val="center"/>
              <w:rPr>
                <w:rFonts w:hint="default"/>
                <w:b w:val="0"/>
                <w:bCs w:val="0"/>
                <w:color w:val="auto"/>
                <w:sz w:val="18"/>
                <w:szCs w:val="18"/>
                <w:vertAlign w:val="baseline"/>
                <w:lang w:val="en-US" w:eastAsia="zh-CN"/>
              </w:rPr>
            </w:pPr>
            <w:r>
              <w:rPr>
                <w:rFonts w:hint="eastAsia"/>
                <w:b w:val="0"/>
                <w:bCs w:val="0"/>
                <w:color w:val="auto"/>
                <w:sz w:val="18"/>
                <w:szCs w:val="18"/>
                <w:vertAlign w:val="baseline"/>
                <w:lang w:val="en-US" w:eastAsia="zh-CN"/>
              </w:rPr>
              <w:t>6</w:t>
            </w:r>
          </w:p>
        </w:tc>
        <w:tc>
          <w:tcPr>
            <w:tcW w:w="1718"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西飞601厂房</w:t>
            </w:r>
          </w:p>
        </w:tc>
        <w:tc>
          <w:tcPr>
            <w:tcW w:w="1077"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25000</w:t>
            </w:r>
          </w:p>
        </w:tc>
        <w:tc>
          <w:tcPr>
            <w:tcW w:w="1091"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PVC</w:t>
            </w:r>
          </w:p>
        </w:tc>
        <w:tc>
          <w:tcPr>
            <w:tcW w:w="1064"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1.2mm</w:t>
            </w:r>
          </w:p>
        </w:tc>
        <w:tc>
          <w:tcPr>
            <w:tcW w:w="818"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2012</w:t>
            </w:r>
          </w:p>
        </w:tc>
        <w:tc>
          <w:tcPr>
            <w:tcW w:w="1077"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eastAsia" w:cs="Times New Roman"/>
                <w:b w:val="0"/>
                <w:bCs w:val="0"/>
                <w:i w:val="0"/>
                <w:iCs w:val="0"/>
                <w:color w:val="000000"/>
                <w:kern w:val="0"/>
                <w:sz w:val="18"/>
                <w:szCs w:val="18"/>
                <w:u w:val="none"/>
                <w:lang w:val="en-US" w:eastAsia="zh-CN" w:bidi="ar"/>
              </w:rPr>
              <w:t>10</w:t>
            </w:r>
          </w:p>
        </w:tc>
        <w:tc>
          <w:tcPr>
            <w:tcW w:w="1295"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使用中，状况良好</w:t>
            </w:r>
          </w:p>
        </w:tc>
        <w:tc>
          <w:tcPr>
            <w:tcW w:w="4875" w:type="dxa"/>
            <w:tcBorders>
              <w:tl2br w:val="nil"/>
              <w:tr2bl w:val="nil"/>
            </w:tcBorders>
            <w:vAlign w:val="center"/>
          </w:tcPr>
          <w:p>
            <w:pPr>
              <w:spacing w:line="240" w:lineRule="auto"/>
              <w:jc w:val="center"/>
              <w:rPr>
                <w:rFonts w:hint="eastAsia"/>
                <w:b/>
                <w:bCs/>
                <w:color w:val="auto"/>
                <w:sz w:val="18"/>
                <w:szCs w:val="18"/>
                <w:vertAlign w:val="baseline"/>
                <w:lang w:eastAsia="zh-CN"/>
              </w:rPr>
            </w:pPr>
            <w:r>
              <w:drawing>
                <wp:inline distT="0" distB="0" distL="114300" distR="114300">
                  <wp:extent cx="3020060" cy="1940560"/>
                  <wp:effectExtent l="0" t="0" r="8890" b="2540"/>
                  <wp:docPr id="1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pic:cNvPicPr>
                            <a:picLocks noChangeAspect="1"/>
                          </pic:cNvPicPr>
                        </pic:nvPicPr>
                        <pic:blipFill>
                          <a:blip r:embed="rId14"/>
                          <a:srcRect l="993" t="1764" r="307"/>
                          <a:stretch>
                            <a:fillRect/>
                          </a:stretch>
                        </pic:blipFill>
                        <pic:spPr>
                          <a:xfrm>
                            <a:off x="0" y="0"/>
                            <a:ext cx="3020060" cy="1940560"/>
                          </a:xfrm>
                          <a:prstGeom prst="rect">
                            <a:avLst/>
                          </a:prstGeom>
                          <a:noFill/>
                          <a:ln w="1">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29" w:type="dxa"/>
            <w:tcBorders>
              <w:tl2br w:val="nil"/>
              <w:tr2bl w:val="nil"/>
            </w:tcBorders>
            <w:vAlign w:val="center"/>
          </w:tcPr>
          <w:p>
            <w:pPr>
              <w:spacing w:line="440" w:lineRule="exact"/>
              <w:jc w:val="center"/>
              <w:rPr>
                <w:rFonts w:hint="default"/>
                <w:b w:val="0"/>
                <w:bCs w:val="0"/>
                <w:color w:val="auto"/>
                <w:sz w:val="18"/>
                <w:szCs w:val="18"/>
                <w:vertAlign w:val="baseline"/>
                <w:lang w:val="en-US" w:eastAsia="zh-CN"/>
              </w:rPr>
            </w:pPr>
            <w:r>
              <w:rPr>
                <w:rFonts w:hint="eastAsia"/>
                <w:b w:val="0"/>
                <w:bCs w:val="0"/>
                <w:color w:val="auto"/>
                <w:sz w:val="18"/>
                <w:szCs w:val="18"/>
                <w:vertAlign w:val="baseline"/>
                <w:lang w:val="en-US" w:eastAsia="zh-CN"/>
              </w:rPr>
              <w:t>7</w:t>
            </w:r>
          </w:p>
        </w:tc>
        <w:tc>
          <w:tcPr>
            <w:tcW w:w="1718"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沈阳华晨宝马供应商车间与涂装车间</w:t>
            </w:r>
          </w:p>
        </w:tc>
        <w:tc>
          <w:tcPr>
            <w:tcW w:w="1077"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70000</w:t>
            </w:r>
          </w:p>
        </w:tc>
        <w:tc>
          <w:tcPr>
            <w:tcW w:w="1091"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增强型TPO</w:t>
            </w:r>
          </w:p>
        </w:tc>
        <w:tc>
          <w:tcPr>
            <w:tcW w:w="1064"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1.5mm</w:t>
            </w:r>
          </w:p>
        </w:tc>
        <w:tc>
          <w:tcPr>
            <w:tcW w:w="818"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201</w:t>
            </w:r>
            <w:r>
              <w:rPr>
                <w:rFonts w:hint="default" w:ascii="Times New Roman" w:hAnsi="Times New Roman" w:cs="Times New Roman"/>
                <w:i w:val="0"/>
                <w:iCs w:val="0"/>
                <w:color w:val="000000"/>
                <w:kern w:val="0"/>
                <w:sz w:val="18"/>
                <w:szCs w:val="18"/>
                <w:u w:val="none"/>
                <w:lang w:val="en-US" w:eastAsia="zh-CN" w:bidi="ar"/>
              </w:rPr>
              <w:t>1</w:t>
            </w:r>
          </w:p>
        </w:tc>
        <w:tc>
          <w:tcPr>
            <w:tcW w:w="1077"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eastAsia" w:cs="Times New Roman"/>
                <w:b w:val="0"/>
                <w:bCs w:val="0"/>
                <w:i w:val="0"/>
                <w:iCs w:val="0"/>
                <w:color w:val="000000"/>
                <w:kern w:val="0"/>
                <w:sz w:val="18"/>
                <w:szCs w:val="18"/>
                <w:u w:val="none"/>
                <w:lang w:val="en-US" w:eastAsia="zh-CN" w:bidi="ar"/>
              </w:rPr>
              <w:t>11</w:t>
            </w:r>
          </w:p>
        </w:tc>
        <w:tc>
          <w:tcPr>
            <w:tcW w:w="1295"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防水系统无渗漏，防水层表观良好无破损，细部防水处理无异常</w:t>
            </w:r>
          </w:p>
        </w:tc>
        <w:tc>
          <w:tcPr>
            <w:tcW w:w="4875" w:type="dxa"/>
            <w:tcBorders>
              <w:tl2br w:val="nil"/>
              <w:tr2bl w:val="nil"/>
            </w:tcBorders>
            <w:vAlign w:val="center"/>
          </w:tcPr>
          <w:p>
            <w:pPr>
              <w:spacing w:line="240" w:lineRule="auto"/>
              <w:jc w:val="center"/>
              <w:rPr>
                <w:rFonts w:hint="eastAsia"/>
                <w:b/>
                <w:bCs/>
                <w:color w:val="auto"/>
                <w:sz w:val="18"/>
                <w:szCs w:val="18"/>
                <w:vertAlign w:val="baseline"/>
                <w:lang w:eastAsia="zh-CN"/>
              </w:rPr>
            </w:pPr>
            <w:r>
              <w:drawing>
                <wp:inline distT="0" distB="0" distL="114300" distR="114300">
                  <wp:extent cx="2993390" cy="1866265"/>
                  <wp:effectExtent l="0" t="0" r="16510" b="635"/>
                  <wp:docPr id="1042" name="图片 4" descr="建筑与房屋的城市空拍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图片 4" descr="建筑与房屋的城市空拍图&#10;&#10;描述已自动生成"/>
                          <pic:cNvPicPr>
                            <a:picLocks noChangeAspect="1"/>
                          </pic:cNvPicPr>
                        </pic:nvPicPr>
                        <pic:blipFill>
                          <a:blip r:embed="rId15"/>
                          <a:stretch>
                            <a:fillRect/>
                          </a:stretch>
                        </pic:blipFill>
                        <pic:spPr>
                          <a:xfrm>
                            <a:off x="0" y="0"/>
                            <a:ext cx="2993390" cy="1866265"/>
                          </a:xfrm>
                          <a:prstGeom prst="rect">
                            <a:avLst/>
                          </a:prstGeom>
                          <a:noFill/>
                          <a:ln w="9525">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29" w:type="dxa"/>
            <w:tcBorders>
              <w:tl2br w:val="nil"/>
              <w:tr2bl w:val="nil"/>
            </w:tcBorders>
            <w:vAlign w:val="center"/>
          </w:tcPr>
          <w:p>
            <w:pPr>
              <w:widowControl/>
              <w:spacing w:line="440" w:lineRule="exact"/>
              <w:jc w:val="center"/>
              <w:textAlignment w:val="center"/>
              <w:rPr>
                <w:rFonts w:hint="default"/>
                <w:b w:val="0"/>
                <w:bCs w:val="0"/>
                <w:color w:val="000000"/>
                <w:kern w:val="0"/>
                <w:sz w:val="18"/>
                <w:szCs w:val="18"/>
                <w:u w:val="none"/>
                <w:vertAlign w:val="baseline"/>
                <w:lang w:val="en-US" w:eastAsia="zh-CN" w:bidi="ar"/>
              </w:rPr>
            </w:pPr>
            <w:r>
              <w:rPr>
                <w:rFonts w:hint="default"/>
                <w:b w:val="0"/>
                <w:bCs w:val="0"/>
                <w:color w:val="000000"/>
                <w:kern w:val="0"/>
                <w:sz w:val="18"/>
                <w:szCs w:val="18"/>
                <w:u w:val="none"/>
                <w:vertAlign w:val="baseline"/>
                <w:lang w:val="en-US" w:eastAsia="zh-CN" w:bidi="ar"/>
              </w:rPr>
              <w:t>8</w:t>
            </w:r>
          </w:p>
        </w:tc>
        <w:tc>
          <w:tcPr>
            <w:tcW w:w="1718"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辽宁抚顺琥珀纸业有限责任公司屋面防水工程</w:t>
            </w:r>
          </w:p>
        </w:tc>
        <w:tc>
          <w:tcPr>
            <w:tcW w:w="1077"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60000</w:t>
            </w:r>
          </w:p>
        </w:tc>
        <w:tc>
          <w:tcPr>
            <w:tcW w:w="1091"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增强型TPO</w:t>
            </w:r>
          </w:p>
        </w:tc>
        <w:tc>
          <w:tcPr>
            <w:tcW w:w="1064"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1.5mm</w:t>
            </w:r>
          </w:p>
        </w:tc>
        <w:tc>
          <w:tcPr>
            <w:tcW w:w="818"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201</w:t>
            </w:r>
            <w:r>
              <w:rPr>
                <w:rFonts w:hint="default" w:ascii="Times New Roman" w:hAnsi="Times New Roman" w:cs="Times New Roman"/>
                <w:i w:val="0"/>
                <w:iCs w:val="0"/>
                <w:color w:val="000000"/>
                <w:kern w:val="0"/>
                <w:sz w:val="18"/>
                <w:szCs w:val="18"/>
                <w:u w:val="none"/>
                <w:lang w:val="en-US" w:eastAsia="zh-CN" w:bidi="ar"/>
              </w:rPr>
              <w:t>1</w:t>
            </w:r>
          </w:p>
        </w:tc>
        <w:tc>
          <w:tcPr>
            <w:tcW w:w="1077"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cs="Times New Roman"/>
                <w:b w:val="0"/>
                <w:bCs w:val="0"/>
                <w:i w:val="0"/>
                <w:iCs w:val="0"/>
                <w:color w:val="000000"/>
                <w:kern w:val="0"/>
                <w:sz w:val="18"/>
                <w:szCs w:val="18"/>
                <w:u w:val="none"/>
                <w:lang w:val="en-US" w:eastAsia="zh-CN" w:bidi="ar"/>
              </w:rPr>
              <w:t>11</w:t>
            </w:r>
          </w:p>
        </w:tc>
        <w:tc>
          <w:tcPr>
            <w:tcW w:w="1295"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防水系统无渗漏，防水层表观良好无破损，细部防水处理无异常</w:t>
            </w:r>
          </w:p>
        </w:tc>
        <w:tc>
          <w:tcPr>
            <w:tcW w:w="4875" w:type="dxa"/>
            <w:tcBorders>
              <w:tl2br w:val="nil"/>
              <w:tr2bl w:val="nil"/>
            </w:tcBorders>
            <w:vAlign w:val="center"/>
          </w:tcPr>
          <w:p>
            <w:pPr>
              <w:spacing w:line="240" w:lineRule="auto"/>
              <w:jc w:val="center"/>
              <w:rPr>
                <w:rFonts w:hint="eastAsia"/>
                <w:b/>
                <w:bCs/>
                <w:color w:val="auto"/>
                <w:sz w:val="18"/>
                <w:szCs w:val="18"/>
                <w:vertAlign w:val="baseline"/>
                <w:lang w:eastAsia="zh-CN"/>
              </w:rPr>
            </w:pPr>
            <w:r>
              <w:drawing>
                <wp:inline distT="0" distB="0" distL="114300" distR="114300">
                  <wp:extent cx="3109595" cy="2048510"/>
                  <wp:effectExtent l="0" t="0" r="14605" b="8890"/>
                  <wp:docPr id="1041" name="图片 9" descr="C:\Documents and Settings\Owner\桌面\TPO现场照片\SDC1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图片 9" descr="C:\Documents and Settings\Owner\桌面\TPO现场照片\SDC10391.JPG"/>
                          <pic:cNvPicPr>
                            <a:picLocks noChangeAspect="1"/>
                          </pic:cNvPicPr>
                        </pic:nvPicPr>
                        <pic:blipFill>
                          <a:blip r:embed="rId16">
                            <a:lum bright="10001" contrast="10000"/>
                          </a:blip>
                          <a:srcRect b="12254"/>
                          <a:stretch>
                            <a:fillRect/>
                          </a:stretch>
                        </pic:blipFill>
                        <pic:spPr>
                          <a:xfrm>
                            <a:off x="0" y="0"/>
                            <a:ext cx="3109595" cy="2048510"/>
                          </a:xfrm>
                          <a:prstGeom prst="rect">
                            <a:avLst/>
                          </a:prstGeom>
                          <a:noFill/>
                          <a:ln w="9525">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4" w:hRule="atLeast"/>
          <w:jc w:val="center"/>
        </w:trPr>
        <w:tc>
          <w:tcPr>
            <w:tcW w:w="729" w:type="dxa"/>
            <w:tcBorders>
              <w:tl2br w:val="nil"/>
              <w:tr2bl w:val="nil"/>
            </w:tcBorders>
            <w:vAlign w:val="center"/>
          </w:tcPr>
          <w:p>
            <w:pPr>
              <w:widowControl/>
              <w:spacing w:line="440" w:lineRule="exact"/>
              <w:jc w:val="center"/>
              <w:textAlignment w:val="center"/>
              <w:rPr>
                <w:rFonts w:hint="default"/>
                <w:b w:val="0"/>
                <w:bCs w:val="0"/>
                <w:color w:val="000000"/>
                <w:kern w:val="0"/>
                <w:sz w:val="18"/>
                <w:szCs w:val="18"/>
                <w:u w:val="none"/>
                <w:vertAlign w:val="baseline"/>
                <w:lang w:val="en-US" w:eastAsia="zh-CN" w:bidi="ar"/>
              </w:rPr>
            </w:pPr>
            <w:r>
              <w:rPr>
                <w:rFonts w:hint="default"/>
                <w:b w:val="0"/>
                <w:bCs w:val="0"/>
                <w:color w:val="000000"/>
                <w:kern w:val="0"/>
                <w:sz w:val="18"/>
                <w:szCs w:val="18"/>
                <w:u w:val="none"/>
                <w:vertAlign w:val="baseline"/>
                <w:lang w:val="en-US" w:eastAsia="zh-CN" w:bidi="ar"/>
              </w:rPr>
              <w:t>9</w:t>
            </w:r>
          </w:p>
        </w:tc>
        <w:tc>
          <w:tcPr>
            <w:tcW w:w="1718"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一汽集团进出口公司一汽-大众二厂物流超市改造屋面防水工程</w:t>
            </w:r>
          </w:p>
        </w:tc>
        <w:tc>
          <w:tcPr>
            <w:tcW w:w="1077"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53000</w:t>
            </w:r>
          </w:p>
        </w:tc>
        <w:tc>
          <w:tcPr>
            <w:tcW w:w="1091"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增强型TPO</w:t>
            </w:r>
          </w:p>
        </w:tc>
        <w:tc>
          <w:tcPr>
            <w:tcW w:w="1064"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1.5mm</w:t>
            </w:r>
          </w:p>
        </w:tc>
        <w:tc>
          <w:tcPr>
            <w:tcW w:w="818"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201</w:t>
            </w:r>
            <w:r>
              <w:rPr>
                <w:rFonts w:hint="default" w:cs="Times New Roman"/>
                <w:i w:val="0"/>
                <w:iCs w:val="0"/>
                <w:color w:val="000000"/>
                <w:kern w:val="0"/>
                <w:sz w:val="18"/>
                <w:szCs w:val="18"/>
                <w:u w:val="none"/>
                <w:lang w:val="en-US" w:eastAsia="zh-CN" w:bidi="ar"/>
              </w:rPr>
              <w:t>0</w:t>
            </w:r>
          </w:p>
        </w:tc>
        <w:tc>
          <w:tcPr>
            <w:tcW w:w="1077"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cs="Times New Roman"/>
                <w:b w:val="0"/>
                <w:bCs w:val="0"/>
                <w:i w:val="0"/>
                <w:iCs w:val="0"/>
                <w:color w:val="000000"/>
                <w:kern w:val="0"/>
                <w:sz w:val="18"/>
                <w:szCs w:val="18"/>
                <w:u w:val="none"/>
                <w:lang w:val="en-US" w:eastAsia="zh-CN" w:bidi="ar"/>
              </w:rPr>
              <w:t>12</w:t>
            </w:r>
          </w:p>
        </w:tc>
        <w:tc>
          <w:tcPr>
            <w:tcW w:w="1295"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防水系统无渗漏，防水层表观良好无破损，细部防水处理无异常</w:t>
            </w:r>
          </w:p>
        </w:tc>
        <w:tc>
          <w:tcPr>
            <w:tcW w:w="4875" w:type="dxa"/>
            <w:tcBorders>
              <w:tl2br w:val="nil"/>
              <w:tr2bl w:val="nil"/>
            </w:tcBorders>
            <w:vAlign w:val="center"/>
          </w:tcPr>
          <w:p>
            <w:pPr>
              <w:spacing w:line="240" w:lineRule="auto"/>
              <w:jc w:val="center"/>
              <w:rPr>
                <w:rFonts w:hint="eastAsia"/>
                <w:b/>
                <w:bCs/>
                <w:color w:val="auto"/>
                <w:sz w:val="18"/>
                <w:szCs w:val="18"/>
                <w:vertAlign w:val="baseline"/>
                <w:lang w:eastAsia="zh-CN"/>
              </w:rPr>
            </w:pPr>
            <w:r>
              <w:drawing>
                <wp:inline distT="0" distB="0" distL="114300" distR="114300">
                  <wp:extent cx="3161665" cy="2132330"/>
                  <wp:effectExtent l="0" t="0" r="635" b="1270"/>
                  <wp:docPr id="10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图片 1"/>
                          <pic:cNvPicPr>
                            <a:picLocks noChangeAspect="1"/>
                          </pic:cNvPicPr>
                        </pic:nvPicPr>
                        <pic:blipFill>
                          <a:blip r:embed="rId17"/>
                          <a:srcRect t="6653"/>
                          <a:stretch>
                            <a:fillRect/>
                          </a:stretch>
                        </pic:blipFill>
                        <pic:spPr>
                          <a:xfrm>
                            <a:off x="0" y="0"/>
                            <a:ext cx="3161665" cy="2132330"/>
                          </a:xfrm>
                          <a:prstGeom prst="rect">
                            <a:avLst/>
                          </a:prstGeom>
                          <a:noFill/>
                          <a:ln w="9525">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29" w:type="dxa"/>
            <w:tcBorders>
              <w:tl2br w:val="nil"/>
              <w:tr2bl w:val="nil"/>
            </w:tcBorders>
            <w:vAlign w:val="center"/>
          </w:tcPr>
          <w:p>
            <w:pPr>
              <w:widowControl/>
              <w:spacing w:line="440" w:lineRule="exact"/>
              <w:jc w:val="center"/>
              <w:textAlignment w:val="center"/>
              <w:rPr>
                <w:rFonts w:hint="default"/>
                <w:b w:val="0"/>
                <w:bCs w:val="0"/>
                <w:color w:val="000000"/>
                <w:kern w:val="0"/>
                <w:sz w:val="18"/>
                <w:szCs w:val="18"/>
                <w:u w:val="none"/>
                <w:vertAlign w:val="baseline"/>
                <w:lang w:val="en-US" w:eastAsia="zh-CN" w:bidi="ar"/>
              </w:rPr>
            </w:pPr>
            <w:r>
              <w:rPr>
                <w:rFonts w:hint="default"/>
                <w:b w:val="0"/>
                <w:bCs w:val="0"/>
                <w:color w:val="000000"/>
                <w:kern w:val="0"/>
                <w:sz w:val="18"/>
                <w:szCs w:val="18"/>
                <w:u w:val="none"/>
                <w:vertAlign w:val="baseline"/>
                <w:lang w:val="en-US" w:eastAsia="zh-CN" w:bidi="ar"/>
              </w:rPr>
              <w:t>10</w:t>
            </w:r>
          </w:p>
        </w:tc>
        <w:tc>
          <w:tcPr>
            <w:tcW w:w="1718"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安徽中烟芜湖卷烟厂“都宝”线项目制丝工房及综合库TPO屋面防水工程</w:t>
            </w:r>
          </w:p>
        </w:tc>
        <w:tc>
          <w:tcPr>
            <w:tcW w:w="1077"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38000</w:t>
            </w:r>
          </w:p>
        </w:tc>
        <w:tc>
          <w:tcPr>
            <w:tcW w:w="1091"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背衬型TPO</w:t>
            </w:r>
          </w:p>
        </w:tc>
        <w:tc>
          <w:tcPr>
            <w:tcW w:w="1064"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1.5mm</w:t>
            </w:r>
          </w:p>
        </w:tc>
        <w:tc>
          <w:tcPr>
            <w:tcW w:w="818"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201</w:t>
            </w:r>
            <w:r>
              <w:rPr>
                <w:rFonts w:hint="default" w:ascii="Times New Roman" w:hAnsi="Times New Roman" w:cs="Times New Roman"/>
                <w:i w:val="0"/>
                <w:iCs w:val="0"/>
                <w:color w:val="000000"/>
                <w:kern w:val="0"/>
                <w:sz w:val="18"/>
                <w:szCs w:val="18"/>
                <w:u w:val="none"/>
                <w:lang w:val="en-US" w:eastAsia="zh-CN" w:bidi="ar"/>
              </w:rPr>
              <w:t>1</w:t>
            </w:r>
          </w:p>
        </w:tc>
        <w:tc>
          <w:tcPr>
            <w:tcW w:w="1077"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cs="Times New Roman"/>
                <w:b w:val="0"/>
                <w:bCs w:val="0"/>
                <w:i w:val="0"/>
                <w:iCs w:val="0"/>
                <w:color w:val="000000"/>
                <w:kern w:val="0"/>
                <w:sz w:val="18"/>
                <w:szCs w:val="18"/>
                <w:u w:val="none"/>
                <w:lang w:val="en-US" w:eastAsia="zh-CN" w:bidi="ar"/>
              </w:rPr>
              <w:t>11</w:t>
            </w:r>
          </w:p>
        </w:tc>
        <w:tc>
          <w:tcPr>
            <w:tcW w:w="1295" w:type="dxa"/>
            <w:tcBorders>
              <w:tl2br w:val="nil"/>
              <w:tr2bl w:val="nil"/>
            </w:tcBorders>
            <w:vAlign w:val="center"/>
          </w:tcPr>
          <w:p>
            <w:pPr>
              <w:keepNext w:val="0"/>
              <w:keepLines w:val="0"/>
              <w:widowControl/>
              <w:suppressLineNumbers w:val="0"/>
              <w:spacing w:line="440" w:lineRule="exact"/>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防水系统无渗漏，防水层表观良好无破损，细部防水处理无异常</w:t>
            </w:r>
          </w:p>
        </w:tc>
        <w:tc>
          <w:tcPr>
            <w:tcW w:w="4875" w:type="dxa"/>
            <w:tcBorders>
              <w:tl2br w:val="nil"/>
              <w:tr2bl w:val="nil"/>
            </w:tcBorders>
            <w:vAlign w:val="center"/>
          </w:tcPr>
          <w:p>
            <w:pPr>
              <w:spacing w:line="240" w:lineRule="auto"/>
              <w:jc w:val="center"/>
              <w:rPr>
                <w:rFonts w:hint="eastAsia"/>
                <w:b/>
                <w:bCs/>
                <w:color w:val="auto"/>
                <w:sz w:val="18"/>
                <w:szCs w:val="18"/>
                <w:vertAlign w:val="baseline"/>
                <w:lang w:eastAsia="zh-CN"/>
              </w:rPr>
            </w:pPr>
            <w:r>
              <w:drawing>
                <wp:inline distT="0" distB="0" distL="114300" distR="114300">
                  <wp:extent cx="3286760" cy="2299335"/>
                  <wp:effectExtent l="0" t="0" r="8890" b="5715"/>
                  <wp:docPr id="10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图片 9"/>
                          <pic:cNvPicPr>
                            <a:picLocks noChangeAspect="1"/>
                          </pic:cNvPicPr>
                        </pic:nvPicPr>
                        <pic:blipFill>
                          <a:blip r:embed="rId18">
                            <a:lum bright="20001"/>
                          </a:blip>
                          <a:stretch>
                            <a:fillRect/>
                          </a:stretch>
                        </pic:blipFill>
                        <pic:spPr>
                          <a:xfrm>
                            <a:off x="0" y="0"/>
                            <a:ext cx="3286760" cy="2299335"/>
                          </a:xfrm>
                          <a:prstGeom prst="rect">
                            <a:avLst/>
                          </a:prstGeom>
                          <a:noFill/>
                          <a:ln w="9525">
                            <a:noFill/>
                          </a:ln>
                        </pic:spPr>
                      </pic:pic>
                    </a:graphicData>
                  </a:graphic>
                </wp:inline>
              </w:drawing>
            </w:r>
          </w:p>
        </w:tc>
      </w:tr>
    </w:tbl>
    <w:p>
      <w:pPr>
        <w:spacing w:line="440" w:lineRule="exact"/>
        <w:ind w:firstLine="0" w:firstLineChars="0"/>
        <w:rPr>
          <w:rFonts w:hint="eastAsia"/>
          <w:b/>
          <w:bCs/>
          <w:color w:val="0000FF"/>
          <w:lang w:eastAsia="zh-CN"/>
        </w:rPr>
      </w:pPr>
    </w:p>
    <w:p>
      <w:pPr>
        <w:spacing w:line="440" w:lineRule="exact"/>
        <w:ind w:firstLine="0" w:firstLineChars="0"/>
        <w:rPr>
          <w:rFonts w:hint="eastAsia"/>
          <w:color w:val="0000FF"/>
          <w:lang w:eastAsia="zh-CN"/>
        </w:rPr>
      </w:pPr>
    </w:p>
    <w:bookmarkEnd w:id="14"/>
    <w:bookmarkEnd w:id="15"/>
    <w:bookmarkEnd w:id="16"/>
    <w:bookmarkEnd w:id="19"/>
    <w:p>
      <w:pPr>
        <w:pStyle w:val="38"/>
        <w:spacing w:before="156" w:after="156" w:line="276" w:lineRule="auto"/>
        <w:outlineLvl w:val="9"/>
        <w:rPr>
          <w:rFonts w:hint="eastAsia"/>
        </w:rPr>
        <w:sectPr>
          <w:pgSz w:w="16838" w:h="11906" w:orient="landscape"/>
          <w:pgMar w:top="1803" w:right="1440" w:bottom="1803" w:left="1440" w:header="737" w:footer="737" w:gutter="0"/>
          <w:pgBorders>
            <w:top w:val="none" w:sz="0" w:space="0"/>
            <w:left w:val="none" w:sz="0" w:space="0"/>
            <w:bottom w:val="none" w:sz="0" w:space="0"/>
            <w:right w:val="none" w:sz="0" w:space="0"/>
          </w:pgBorders>
          <w:pgNumType w:fmt="decimal"/>
          <w:cols w:space="0" w:num="1"/>
          <w:formProt w:val="0"/>
          <w:rtlGutter w:val="0"/>
          <w:docGrid w:type="lines" w:linePitch="319" w:charSpace="0"/>
        </w:sectPr>
      </w:pPr>
    </w:p>
    <w:p>
      <w:pPr>
        <w:pStyle w:val="38"/>
        <w:spacing w:before="156" w:after="156" w:line="276" w:lineRule="auto"/>
      </w:pPr>
      <w:bookmarkStart w:id="20" w:name="_Toc12483"/>
      <w:bookmarkStart w:id="21" w:name="_Toc17147"/>
      <w:bookmarkStart w:id="22" w:name="_Toc25305"/>
      <w:r>
        <w:rPr>
          <w:rFonts w:hint="eastAsia"/>
          <w:lang w:eastAsia="zh-CN"/>
        </w:rPr>
        <w:t>三</w:t>
      </w:r>
      <w:r>
        <w:rPr>
          <w:rFonts w:hint="eastAsia"/>
        </w:rPr>
        <w:t>、标准的知识产权情况</w:t>
      </w:r>
      <w:bookmarkEnd w:id="20"/>
      <w:bookmarkEnd w:id="21"/>
      <w:bookmarkEnd w:id="22"/>
    </w:p>
    <w:p>
      <w:pPr>
        <w:spacing w:line="440" w:lineRule="exact"/>
        <w:ind w:firstLine="431" w:firstLineChars="196"/>
        <w:rPr>
          <w:sz w:val="22"/>
          <w:szCs w:val="22"/>
        </w:rPr>
      </w:pPr>
      <w:r>
        <w:rPr>
          <w:rFonts w:hint="eastAsia"/>
          <w:sz w:val="22"/>
          <w:szCs w:val="22"/>
        </w:rPr>
        <w:t>本标准中未涉及企业专利等知识产权。</w:t>
      </w:r>
    </w:p>
    <w:p>
      <w:pPr>
        <w:pStyle w:val="38"/>
        <w:spacing w:before="156" w:after="156" w:line="276" w:lineRule="auto"/>
      </w:pPr>
      <w:bookmarkStart w:id="23" w:name="_Toc9895"/>
      <w:bookmarkStart w:id="24" w:name="_Toc52"/>
      <w:bookmarkStart w:id="25" w:name="_Toc1893"/>
      <w:r>
        <w:rPr>
          <w:rFonts w:hint="eastAsia"/>
          <w:lang w:eastAsia="zh-CN"/>
        </w:rPr>
        <w:t>四</w:t>
      </w:r>
      <w:r>
        <w:rPr>
          <w:rFonts w:hint="eastAsia"/>
        </w:rPr>
        <w:t>、标准预期达到的效果</w:t>
      </w:r>
      <w:bookmarkEnd w:id="23"/>
      <w:bookmarkEnd w:id="24"/>
      <w:bookmarkEnd w:id="25"/>
    </w:p>
    <w:p>
      <w:pPr>
        <w:spacing w:line="360" w:lineRule="auto"/>
        <w:ind w:firstLine="431" w:firstLineChars="196"/>
        <w:rPr>
          <w:sz w:val="22"/>
          <w:szCs w:val="22"/>
        </w:rPr>
      </w:pPr>
      <w:r>
        <w:rPr>
          <w:rFonts w:hint="eastAsia"/>
          <w:sz w:val="22"/>
          <w:szCs w:val="22"/>
        </w:rPr>
        <w:t>制定《单层防水卷材屋面工程技术规程》建材行业的行业标准，与全文强制性标准《规范》内条文的规定保持一致，对适用于单层防水卷材屋面的高分子防水材料、配套材料、机械固定件以及匹配的施工工艺等进行规定，把控防水生产企业的材料出厂质量，管控防水施工企业在施工质量，对单层防水卷材屋面工程的系统可靠性提供支持，为单卷屋面的发展起到推动作用。同时成为指导防水卷材生产企业、单卷屋面配套材料生产企业以及单卷屋面施工承包企业的改进升级的基础，促进防水行业质量管理提升管理工作更进一步。</w:t>
      </w:r>
    </w:p>
    <w:p>
      <w:pPr>
        <w:pStyle w:val="38"/>
        <w:spacing w:before="156" w:after="156" w:line="276" w:lineRule="auto"/>
      </w:pPr>
      <w:bookmarkStart w:id="26" w:name="_Toc9336"/>
      <w:bookmarkStart w:id="27" w:name="_Toc23523"/>
      <w:bookmarkStart w:id="28" w:name="_Toc25221"/>
      <w:r>
        <w:rPr>
          <w:rFonts w:hint="eastAsia"/>
          <w:lang w:eastAsia="zh-CN"/>
        </w:rPr>
        <w:t>五</w:t>
      </w:r>
      <w:r>
        <w:rPr>
          <w:rFonts w:hint="eastAsia"/>
        </w:rPr>
        <w:t>、国内外标准情况</w:t>
      </w:r>
      <w:bookmarkEnd w:id="26"/>
      <w:bookmarkEnd w:id="27"/>
      <w:bookmarkEnd w:id="28"/>
    </w:p>
    <w:p>
      <w:pPr>
        <w:spacing w:line="360" w:lineRule="auto"/>
        <w:ind w:firstLine="431" w:firstLineChars="196"/>
        <w:rPr>
          <w:rFonts w:hint="eastAsia"/>
          <w:sz w:val="22"/>
          <w:szCs w:val="22"/>
          <w:lang w:eastAsia="zh-CN"/>
        </w:rPr>
      </w:pPr>
      <w:r>
        <w:rPr>
          <w:rFonts w:hint="eastAsia"/>
          <w:sz w:val="22"/>
          <w:szCs w:val="22"/>
        </w:rPr>
        <w:t>目前，</w:t>
      </w:r>
      <w:r>
        <w:rPr>
          <w:rFonts w:hint="eastAsia"/>
          <w:sz w:val="22"/>
          <w:szCs w:val="22"/>
          <w:lang w:eastAsia="zh-CN"/>
        </w:rPr>
        <w:t>相关的</w:t>
      </w:r>
      <w:r>
        <w:rPr>
          <w:rFonts w:hint="eastAsia"/>
          <w:sz w:val="22"/>
          <w:szCs w:val="22"/>
        </w:rPr>
        <w:t>国内</w:t>
      </w:r>
      <w:r>
        <w:rPr>
          <w:rFonts w:hint="eastAsia"/>
          <w:sz w:val="22"/>
          <w:szCs w:val="22"/>
          <w:lang w:eastAsia="zh-CN"/>
        </w:rPr>
        <w:t>标准</w:t>
      </w:r>
      <w:r>
        <w:rPr>
          <w:rFonts w:hint="eastAsia"/>
          <w:sz w:val="22"/>
          <w:szCs w:val="22"/>
        </w:rPr>
        <w:t>主要有住建部《单层防水卷材屋面工程技术规程》JGJ/T 316-2013</w:t>
      </w:r>
      <w:r>
        <w:rPr>
          <w:rFonts w:hint="eastAsia"/>
          <w:sz w:val="22"/>
          <w:szCs w:val="22"/>
          <w:lang w:val="en-US" w:eastAsia="zh-CN"/>
        </w:rPr>
        <w:t xml:space="preserve"> 、《坡屋面工程技术规范》GB 50693-2011以及《建筑金属围护系统工程技术标准》JGJ/T 473-2019。本标准在制订过程中参考相关现行标准的规定，并对待发布的</w:t>
      </w:r>
      <w:r>
        <w:rPr>
          <w:rFonts w:hint="eastAsia"/>
          <w:sz w:val="22"/>
          <w:szCs w:val="22"/>
        </w:rPr>
        <w:t>全文强制国家标准《建筑与市政工程防水通用规范》</w:t>
      </w:r>
      <w:r>
        <w:rPr>
          <w:rFonts w:hint="eastAsia"/>
          <w:sz w:val="22"/>
          <w:szCs w:val="22"/>
          <w:lang w:eastAsia="zh-CN"/>
        </w:rPr>
        <w:t>（报批稿）进行了梳理，考虑后对本标准条文进行了编写，属于制定。</w:t>
      </w:r>
    </w:p>
    <w:p>
      <w:pPr>
        <w:spacing w:line="360" w:lineRule="auto"/>
        <w:ind w:firstLine="431" w:firstLineChars="196"/>
        <w:rPr>
          <w:rFonts w:hint="default"/>
          <w:sz w:val="22"/>
          <w:szCs w:val="22"/>
          <w:lang w:val="en-US" w:eastAsia="zh-CN"/>
        </w:rPr>
      </w:pPr>
      <w:r>
        <w:rPr>
          <w:rFonts w:hint="eastAsia"/>
          <w:sz w:val="22"/>
          <w:szCs w:val="22"/>
          <w:lang w:eastAsia="zh-CN"/>
        </w:rPr>
        <w:t>其中条文中存在的差异性，在下表内详细列举并描述了条文制定的目的。</w:t>
      </w:r>
    </w:p>
    <w:tbl>
      <w:tblPr>
        <w:tblStyle w:val="25"/>
        <w:tblW w:w="943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413"/>
        <w:gridCol w:w="1622"/>
        <w:gridCol w:w="1637"/>
        <w:gridCol w:w="1895"/>
        <w:gridCol w:w="22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645" w:type="dxa"/>
            <w:tcBorders>
              <w:tl2br w:val="nil"/>
              <w:tr2bl w:val="nil"/>
            </w:tcBorders>
            <w:vAlign w:val="center"/>
          </w:tcPr>
          <w:p>
            <w:pPr>
              <w:spacing w:line="430" w:lineRule="exact"/>
              <w:jc w:val="center"/>
              <w:rPr>
                <w:rFonts w:hint="eastAsia" w:eastAsia="宋体"/>
                <w:b/>
                <w:bCs/>
                <w:sz w:val="21"/>
                <w:szCs w:val="21"/>
                <w:vertAlign w:val="baseline"/>
                <w:lang w:eastAsia="zh-CN"/>
              </w:rPr>
            </w:pPr>
            <w:r>
              <w:rPr>
                <w:rFonts w:hint="eastAsia"/>
                <w:b/>
                <w:bCs/>
                <w:sz w:val="21"/>
                <w:szCs w:val="21"/>
                <w:vertAlign w:val="baseline"/>
                <w:lang w:eastAsia="zh-CN"/>
              </w:rPr>
              <w:t>序号</w:t>
            </w:r>
          </w:p>
        </w:tc>
        <w:tc>
          <w:tcPr>
            <w:tcW w:w="1413" w:type="dxa"/>
            <w:tcBorders>
              <w:tl2br w:val="nil"/>
              <w:tr2bl w:val="nil"/>
            </w:tcBorders>
            <w:vAlign w:val="center"/>
          </w:tcPr>
          <w:p>
            <w:pPr>
              <w:spacing w:line="430" w:lineRule="exact"/>
              <w:jc w:val="center"/>
              <w:rPr>
                <w:rFonts w:hint="default" w:eastAsia="宋体"/>
                <w:b/>
                <w:bCs/>
                <w:sz w:val="21"/>
                <w:szCs w:val="21"/>
                <w:vertAlign w:val="baseline"/>
                <w:lang w:val="en-US" w:eastAsia="zh-CN"/>
              </w:rPr>
            </w:pPr>
            <w:r>
              <w:rPr>
                <w:rFonts w:hint="eastAsia"/>
                <w:b/>
                <w:bCs/>
                <w:sz w:val="21"/>
                <w:szCs w:val="21"/>
                <w:vertAlign w:val="baseline"/>
                <w:lang w:val="en-US" w:eastAsia="zh-CN"/>
              </w:rPr>
              <w:t>本标准</w:t>
            </w:r>
          </w:p>
        </w:tc>
        <w:tc>
          <w:tcPr>
            <w:tcW w:w="1622" w:type="dxa"/>
            <w:tcBorders>
              <w:tl2br w:val="nil"/>
              <w:tr2bl w:val="nil"/>
            </w:tcBorders>
            <w:vAlign w:val="center"/>
          </w:tcPr>
          <w:p>
            <w:pPr>
              <w:spacing w:line="430" w:lineRule="exact"/>
              <w:jc w:val="center"/>
              <w:rPr>
                <w:rFonts w:hint="default" w:eastAsia="宋体"/>
                <w:b/>
                <w:bCs/>
                <w:sz w:val="21"/>
                <w:szCs w:val="21"/>
                <w:vertAlign w:val="baseline"/>
                <w:lang w:val="en-US" w:eastAsia="zh-CN"/>
              </w:rPr>
            </w:pPr>
            <w:r>
              <w:rPr>
                <w:rFonts w:hint="eastAsia"/>
                <w:b/>
                <w:bCs/>
                <w:sz w:val="21"/>
                <w:szCs w:val="21"/>
                <w:vertAlign w:val="baseline"/>
                <w:lang w:val="en-US" w:eastAsia="zh-CN"/>
              </w:rPr>
              <w:t>GB 50693</w:t>
            </w:r>
          </w:p>
        </w:tc>
        <w:tc>
          <w:tcPr>
            <w:tcW w:w="1637" w:type="dxa"/>
            <w:tcBorders>
              <w:tl2br w:val="nil"/>
              <w:tr2bl w:val="nil"/>
            </w:tcBorders>
            <w:vAlign w:val="center"/>
          </w:tcPr>
          <w:p>
            <w:pPr>
              <w:spacing w:line="430" w:lineRule="exact"/>
              <w:jc w:val="center"/>
              <w:rPr>
                <w:rFonts w:hint="eastAsia" w:ascii="Times New Roman" w:hAnsi="Times New Roman" w:eastAsia="宋体" w:cs="Times New Roman"/>
                <w:b/>
                <w:bCs/>
                <w:kern w:val="2"/>
                <w:sz w:val="21"/>
                <w:szCs w:val="21"/>
                <w:vertAlign w:val="baseline"/>
                <w:lang w:val="en-US" w:eastAsia="zh-CN" w:bidi="ar-SA"/>
              </w:rPr>
            </w:pPr>
            <w:r>
              <w:rPr>
                <w:rFonts w:hint="eastAsia"/>
                <w:b/>
                <w:bCs/>
                <w:sz w:val="21"/>
                <w:szCs w:val="21"/>
                <w:vertAlign w:val="baseline"/>
                <w:lang w:val="en-US" w:eastAsia="zh-CN"/>
              </w:rPr>
              <w:t>JGJ/T 316</w:t>
            </w:r>
          </w:p>
        </w:tc>
        <w:tc>
          <w:tcPr>
            <w:tcW w:w="1895" w:type="dxa"/>
            <w:tcBorders>
              <w:tl2br w:val="nil"/>
              <w:tr2bl w:val="nil"/>
            </w:tcBorders>
            <w:vAlign w:val="center"/>
          </w:tcPr>
          <w:p>
            <w:pPr>
              <w:spacing w:line="430" w:lineRule="exact"/>
              <w:jc w:val="center"/>
              <w:rPr>
                <w:rFonts w:hint="eastAsia"/>
                <w:b/>
                <w:bCs/>
                <w:sz w:val="21"/>
                <w:szCs w:val="21"/>
                <w:vertAlign w:val="baseline"/>
                <w:lang w:eastAsia="zh-CN"/>
              </w:rPr>
            </w:pPr>
            <w:r>
              <w:rPr>
                <w:rFonts w:hint="eastAsia"/>
                <w:b/>
                <w:bCs/>
                <w:sz w:val="21"/>
                <w:szCs w:val="21"/>
                <w:lang w:val="en-US" w:eastAsia="zh-CN"/>
              </w:rPr>
              <w:t>JGJ/T 473</w:t>
            </w:r>
          </w:p>
        </w:tc>
        <w:tc>
          <w:tcPr>
            <w:tcW w:w="2220" w:type="dxa"/>
            <w:tcBorders>
              <w:tl2br w:val="nil"/>
              <w:tr2bl w:val="nil"/>
            </w:tcBorders>
            <w:vAlign w:val="center"/>
          </w:tcPr>
          <w:p>
            <w:pPr>
              <w:spacing w:line="430" w:lineRule="exact"/>
              <w:jc w:val="center"/>
              <w:rPr>
                <w:rFonts w:hint="eastAsia" w:eastAsia="宋体"/>
                <w:b/>
                <w:bCs/>
                <w:sz w:val="21"/>
                <w:szCs w:val="21"/>
                <w:vertAlign w:val="baseline"/>
                <w:lang w:eastAsia="zh-CN"/>
              </w:rPr>
            </w:pPr>
            <w:r>
              <w:rPr>
                <w:rFonts w:hint="eastAsia"/>
                <w:b/>
                <w:bCs/>
                <w:sz w:val="21"/>
                <w:szCs w:val="21"/>
                <w:vertAlign w:val="baseline"/>
                <w:lang w:eastAsia="zh-CN"/>
              </w:rPr>
              <w:t>差异描述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tcBorders>
              <w:tl2br w:val="nil"/>
              <w:tr2bl w:val="nil"/>
            </w:tcBorders>
            <w:vAlign w:val="center"/>
          </w:tcPr>
          <w:p>
            <w:pPr>
              <w:spacing w:line="350" w:lineRule="exact"/>
              <w:jc w:val="center"/>
              <w:rPr>
                <w:rFonts w:hint="eastAsia" w:eastAsia="宋体"/>
                <w:sz w:val="18"/>
                <w:szCs w:val="18"/>
                <w:vertAlign w:val="baseline"/>
                <w:lang w:val="en-US" w:eastAsia="zh-CN"/>
              </w:rPr>
            </w:pPr>
            <w:r>
              <w:rPr>
                <w:rFonts w:hint="eastAsia"/>
                <w:sz w:val="18"/>
                <w:szCs w:val="18"/>
                <w:vertAlign w:val="baseline"/>
                <w:lang w:val="en-US" w:eastAsia="zh-CN"/>
              </w:rPr>
              <w:t>1</w:t>
            </w:r>
          </w:p>
        </w:tc>
        <w:tc>
          <w:tcPr>
            <w:tcW w:w="1413" w:type="dxa"/>
            <w:tcBorders>
              <w:tl2br w:val="nil"/>
              <w:tr2bl w:val="nil"/>
            </w:tcBorders>
            <w:vAlign w:val="center"/>
          </w:tcPr>
          <w:p>
            <w:pPr>
              <w:spacing w:line="350" w:lineRule="exact"/>
              <w:jc w:val="center"/>
              <w:rPr>
                <w:rFonts w:hint="eastAsia"/>
                <w:kern w:val="0"/>
                <w:sz w:val="18"/>
                <w:szCs w:val="18"/>
                <w:lang w:val="en-US" w:eastAsia="zh-CN"/>
              </w:rPr>
            </w:pPr>
            <w:r>
              <w:rPr>
                <w:rFonts w:hint="eastAsia"/>
                <w:kern w:val="0"/>
                <w:sz w:val="18"/>
                <w:szCs w:val="18"/>
                <w:lang w:val="en-US" w:eastAsia="zh-CN"/>
              </w:rPr>
              <w:t>3.1.1</w:t>
            </w:r>
          </w:p>
          <w:p>
            <w:pPr>
              <w:spacing w:line="350" w:lineRule="exact"/>
              <w:jc w:val="center"/>
              <w:rPr>
                <w:rFonts w:hint="eastAsia" w:eastAsia="宋体"/>
                <w:sz w:val="18"/>
                <w:szCs w:val="18"/>
                <w:vertAlign w:val="baseline"/>
                <w:lang w:eastAsia="zh-CN"/>
              </w:rPr>
            </w:pPr>
            <w:r>
              <w:rPr>
                <w:rFonts w:hint="eastAsia"/>
                <w:kern w:val="0"/>
                <w:sz w:val="18"/>
                <w:szCs w:val="18"/>
              </w:rPr>
              <w:t>单层防水卷材屋面的防水设计工作年限不应低于20年</w:t>
            </w:r>
          </w:p>
        </w:tc>
        <w:tc>
          <w:tcPr>
            <w:tcW w:w="1622" w:type="dxa"/>
            <w:tcBorders>
              <w:tl2br w:val="nil"/>
              <w:tr2bl w:val="nil"/>
            </w:tcBorders>
            <w:vAlign w:val="center"/>
          </w:tcPr>
          <w:p>
            <w:pPr>
              <w:spacing w:line="350" w:lineRule="exact"/>
              <w:jc w:val="center"/>
              <w:rPr>
                <w:rFonts w:hint="eastAsia"/>
                <w:sz w:val="18"/>
                <w:szCs w:val="18"/>
                <w:vertAlign w:val="baseline"/>
                <w:lang w:val="en-US" w:eastAsia="zh-CN"/>
              </w:rPr>
            </w:pPr>
            <w:r>
              <w:rPr>
                <w:rFonts w:hint="eastAsia"/>
                <w:sz w:val="18"/>
                <w:szCs w:val="18"/>
                <w:vertAlign w:val="baseline"/>
                <w:lang w:val="en-US" w:eastAsia="zh-CN"/>
              </w:rPr>
              <w:t>3.2.3</w:t>
            </w:r>
          </w:p>
          <w:p>
            <w:pPr>
              <w:spacing w:line="350" w:lineRule="exact"/>
              <w:jc w:val="center"/>
              <w:rPr>
                <w:rFonts w:hint="default" w:eastAsia="宋体"/>
                <w:sz w:val="18"/>
                <w:szCs w:val="18"/>
                <w:vertAlign w:val="baseline"/>
                <w:lang w:val="en-US" w:eastAsia="zh-CN"/>
              </w:rPr>
            </w:pPr>
            <w:r>
              <w:rPr>
                <w:rFonts w:hint="eastAsia"/>
                <w:sz w:val="18"/>
                <w:szCs w:val="18"/>
                <w:vertAlign w:val="baseline"/>
                <w:lang w:eastAsia="zh-CN"/>
              </w:rPr>
              <w:t>坡屋面防水等级：</w:t>
            </w:r>
            <w:r>
              <w:rPr>
                <w:rFonts w:hint="eastAsia"/>
                <w:sz w:val="18"/>
                <w:szCs w:val="18"/>
                <w:vertAlign w:val="baseline"/>
                <w:lang w:val="en-US" w:eastAsia="zh-CN"/>
              </w:rPr>
              <w:t>I级≥20年；II级≥10年</w:t>
            </w:r>
          </w:p>
        </w:tc>
        <w:tc>
          <w:tcPr>
            <w:tcW w:w="1637" w:type="dxa"/>
            <w:tcBorders>
              <w:tl2br w:val="nil"/>
              <w:tr2bl w:val="nil"/>
            </w:tcBorders>
            <w:vAlign w:val="center"/>
          </w:tcPr>
          <w:p>
            <w:pPr>
              <w:spacing w:line="350" w:lineRule="exact"/>
              <w:jc w:val="center"/>
              <w:rPr>
                <w:rFonts w:hint="eastAsia"/>
                <w:sz w:val="18"/>
                <w:szCs w:val="18"/>
                <w:vertAlign w:val="baseline"/>
                <w:lang w:val="en-US" w:eastAsia="zh-CN"/>
              </w:rPr>
            </w:pPr>
            <w:r>
              <w:rPr>
                <w:rFonts w:hint="eastAsia"/>
                <w:sz w:val="18"/>
                <w:szCs w:val="18"/>
                <w:vertAlign w:val="baseline"/>
                <w:lang w:val="en-US" w:eastAsia="zh-CN"/>
              </w:rPr>
              <w:t>3.0.1</w:t>
            </w:r>
          </w:p>
          <w:p>
            <w:pPr>
              <w:spacing w:line="350" w:lineRule="exact"/>
              <w:jc w:val="center"/>
              <w:rPr>
                <w:rFonts w:hint="eastAsia" w:ascii="Times New Roman" w:hAnsi="Times New Roman" w:eastAsia="宋体" w:cs="Times New Roman"/>
                <w:kern w:val="2"/>
                <w:sz w:val="18"/>
                <w:szCs w:val="18"/>
                <w:vertAlign w:val="baseline"/>
                <w:lang w:val="en-US" w:eastAsia="zh-CN" w:bidi="ar-SA"/>
              </w:rPr>
            </w:pPr>
            <w:r>
              <w:rPr>
                <w:rFonts w:hint="eastAsia"/>
                <w:sz w:val="18"/>
                <w:szCs w:val="18"/>
                <w:vertAlign w:val="baseline"/>
                <w:lang w:eastAsia="zh-CN"/>
              </w:rPr>
              <w:t>屋面防水等级：</w:t>
            </w:r>
            <w:r>
              <w:rPr>
                <w:rFonts w:hint="eastAsia"/>
                <w:sz w:val="18"/>
                <w:szCs w:val="18"/>
                <w:vertAlign w:val="baseline"/>
                <w:lang w:val="en-US" w:eastAsia="zh-CN"/>
              </w:rPr>
              <w:t>I级≥20年；II级≥10年</w:t>
            </w:r>
          </w:p>
        </w:tc>
        <w:tc>
          <w:tcPr>
            <w:tcW w:w="1895" w:type="dxa"/>
            <w:tcBorders>
              <w:tl2br w:val="nil"/>
              <w:tr2bl w:val="nil"/>
            </w:tcBorders>
            <w:vAlign w:val="center"/>
          </w:tcPr>
          <w:p>
            <w:pPr>
              <w:spacing w:line="350" w:lineRule="exact"/>
              <w:jc w:val="center"/>
              <w:rPr>
                <w:rFonts w:hint="eastAsia"/>
                <w:sz w:val="18"/>
                <w:szCs w:val="18"/>
                <w:vertAlign w:val="baseline"/>
                <w:lang w:val="en-US" w:eastAsia="zh-CN"/>
              </w:rPr>
            </w:pPr>
            <w:r>
              <w:rPr>
                <w:rFonts w:hint="eastAsia"/>
                <w:sz w:val="18"/>
                <w:szCs w:val="18"/>
                <w:vertAlign w:val="baseline"/>
                <w:lang w:val="en-US" w:eastAsia="zh-CN"/>
              </w:rPr>
              <w:t xml:space="preserve">5.3.2 </w:t>
            </w:r>
          </w:p>
          <w:p>
            <w:pPr>
              <w:spacing w:line="350" w:lineRule="exact"/>
              <w:jc w:val="center"/>
              <w:rPr>
                <w:rFonts w:hint="default"/>
                <w:sz w:val="18"/>
                <w:szCs w:val="18"/>
                <w:vertAlign w:val="baseline"/>
                <w:lang w:val="en-US" w:eastAsia="zh-CN"/>
              </w:rPr>
            </w:pPr>
            <w:r>
              <w:rPr>
                <w:rFonts w:hint="eastAsia"/>
                <w:sz w:val="18"/>
                <w:szCs w:val="18"/>
                <w:vertAlign w:val="baseline"/>
                <w:lang w:eastAsia="zh-CN"/>
              </w:rPr>
              <w:t>防水等级：一级</w:t>
            </w:r>
            <w:r>
              <w:rPr>
                <w:rFonts w:hint="eastAsia"/>
                <w:sz w:val="18"/>
                <w:szCs w:val="18"/>
                <w:vertAlign w:val="baseline"/>
                <w:lang w:val="en-US" w:eastAsia="zh-CN"/>
              </w:rPr>
              <w:t>≥30年；二级≥20年；三级≥10年</w:t>
            </w:r>
          </w:p>
        </w:tc>
        <w:tc>
          <w:tcPr>
            <w:tcW w:w="2220" w:type="dxa"/>
            <w:tcBorders>
              <w:tl2br w:val="nil"/>
              <w:tr2bl w:val="nil"/>
            </w:tcBorders>
            <w:vAlign w:val="center"/>
          </w:tcPr>
          <w:p>
            <w:pPr>
              <w:widowControl/>
              <w:spacing w:line="350" w:lineRule="exact"/>
              <w:jc w:val="center"/>
              <w:rPr>
                <w:rFonts w:hint="default" w:eastAsia="宋体"/>
                <w:sz w:val="18"/>
                <w:szCs w:val="18"/>
                <w:vertAlign w:val="baseline"/>
                <w:lang w:val="en-US" w:eastAsia="zh-CN"/>
              </w:rPr>
            </w:pPr>
            <w:r>
              <w:rPr>
                <w:rFonts w:hint="eastAsia"/>
                <w:sz w:val="18"/>
                <w:szCs w:val="18"/>
                <w:vertAlign w:val="baseline"/>
                <w:lang w:eastAsia="zh-CN"/>
              </w:rPr>
              <w:t>待发布的全文强制性标准《规范》内</w:t>
            </w:r>
            <w:r>
              <w:rPr>
                <w:rFonts w:hint="eastAsia"/>
                <w:sz w:val="18"/>
                <w:szCs w:val="18"/>
                <w:vertAlign w:val="baseline"/>
                <w:lang w:val="en-US" w:eastAsia="zh-CN"/>
              </w:rPr>
              <w:t>2.0.2</w:t>
            </w:r>
            <w:r>
              <w:rPr>
                <w:rFonts w:hint="eastAsia"/>
                <w:sz w:val="18"/>
                <w:szCs w:val="18"/>
                <w:vertAlign w:val="baseline"/>
                <w:lang w:eastAsia="zh-CN"/>
              </w:rPr>
              <w:t>要求，</w:t>
            </w:r>
            <w:r>
              <w:rPr>
                <w:rFonts w:hint="eastAsia" w:ascii="Times New Roman" w:hAnsi="Times New Roman" w:eastAsia="宋体" w:cs="Times New Roman"/>
                <w:color w:val="auto"/>
                <w:kern w:val="2"/>
                <w:sz w:val="18"/>
                <w:szCs w:val="18"/>
                <w:lang w:val="en-US" w:eastAsia="zh-CN" w:bidi="ar"/>
              </w:rPr>
              <w:t>屋面工程防水设计工作年限不应低于 20 年。</w:t>
            </w:r>
            <w:r>
              <w:rPr>
                <w:rFonts w:hint="eastAsia"/>
                <w:sz w:val="18"/>
                <w:szCs w:val="18"/>
                <w:vertAlign w:val="baseline"/>
                <w:lang w:val="en-US" w:eastAsia="zh-CN"/>
              </w:rPr>
              <w:t>屋面防水等级除I级、II级外，还有III级设置。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tcBorders>
              <w:tl2br w:val="nil"/>
              <w:tr2bl w:val="nil"/>
            </w:tcBorders>
            <w:vAlign w:val="center"/>
          </w:tcPr>
          <w:p>
            <w:pPr>
              <w:spacing w:line="350" w:lineRule="exact"/>
              <w:jc w:val="center"/>
              <w:rPr>
                <w:rFonts w:hint="eastAsia" w:eastAsia="宋体"/>
                <w:sz w:val="18"/>
                <w:szCs w:val="18"/>
                <w:vertAlign w:val="baseline"/>
                <w:lang w:val="en-US" w:eastAsia="zh-CN"/>
              </w:rPr>
            </w:pPr>
            <w:r>
              <w:rPr>
                <w:rFonts w:hint="eastAsia"/>
                <w:sz w:val="18"/>
                <w:szCs w:val="18"/>
                <w:vertAlign w:val="baseline"/>
                <w:lang w:val="en-US" w:eastAsia="zh-CN"/>
              </w:rPr>
              <w:t>2</w:t>
            </w:r>
          </w:p>
        </w:tc>
        <w:tc>
          <w:tcPr>
            <w:tcW w:w="1413" w:type="dxa"/>
            <w:tcBorders>
              <w:tl2br w:val="nil"/>
              <w:tr2bl w:val="nil"/>
            </w:tcBorders>
            <w:vAlign w:val="center"/>
          </w:tcPr>
          <w:p>
            <w:pPr>
              <w:widowControl/>
              <w:spacing w:line="350" w:lineRule="exact"/>
              <w:jc w:val="center"/>
              <w:rPr>
                <w:rFonts w:hint="eastAsia"/>
                <w:sz w:val="18"/>
                <w:szCs w:val="18"/>
                <w:lang w:val="en-US" w:eastAsia="zh-CN"/>
              </w:rPr>
            </w:pPr>
            <w:r>
              <w:rPr>
                <w:rFonts w:hint="eastAsia"/>
                <w:sz w:val="18"/>
                <w:szCs w:val="18"/>
                <w:lang w:val="en-US" w:eastAsia="zh-CN"/>
              </w:rPr>
              <w:t>3.3.1</w:t>
            </w:r>
          </w:p>
          <w:p>
            <w:pPr>
              <w:widowControl/>
              <w:spacing w:line="350" w:lineRule="exact"/>
              <w:jc w:val="center"/>
              <w:rPr>
                <w:rFonts w:hint="eastAsia" w:ascii="Times New Roman" w:hAnsi="Times New Roman" w:cs="Times New Roman"/>
                <w:kern w:val="0"/>
                <w:sz w:val="18"/>
                <w:szCs w:val="18"/>
              </w:rPr>
            </w:pPr>
            <w:r>
              <w:rPr>
                <w:rFonts w:hint="eastAsia"/>
                <w:sz w:val="18"/>
                <w:szCs w:val="18"/>
              </w:rPr>
              <w:t>防水卷材品种</w:t>
            </w:r>
            <w:r>
              <w:rPr>
                <w:rFonts w:hint="eastAsia"/>
                <w:kern w:val="0"/>
                <w:sz w:val="18"/>
                <w:szCs w:val="18"/>
                <w:lang w:eastAsia="zh-CN"/>
              </w:rPr>
              <w:t>：</w:t>
            </w:r>
            <w:r>
              <w:rPr>
                <w:rFonts w:hint="eastAsia" w:ascii="Times New Roman" w:hAnsi="Times New Roman" w:cs="Times New Roman"/>
                <w:kern w:val="0"/>
                <w:sz w:val="18"/>
                <w:szCs w:val="18"/>
              </w:rPr>
              <w:t>聚氯乙烯（</w:t>
            </w:r>
            <w:r>
              <w:rPr>
                <w:rFonts w:hint="eastAsia"/>
                <w:kern w:val="0"/>
                <w:sz w:val="18"/>
                <w:szCs w:val="18"/>
              </w:rPr>
              <w:t>PVC</w:t>
            </w:r>
            <w:r>
              <w:rPr>
                <w:rFonts w:hint="eastAsia" w:ascii="Times New Roman" w:hAnsi="Times New Roman" w:cs="Times New Roman"/>
                <w:kern w:val="0"/>
                <w:sz w:val="18"/>
                <w:szCs w:val="18"/>
              </w:rPr>
              <w:t>）防水卷材</w:t>
            </w:r>
            <w:r>
              <w:rPr>
                <w:rFonts w:hint="eastAsia" w:cs="Times New Roman"/>
                <w:kern w:val="0"/>
                <w:sz w:val="18"/>
                <w:szCs w:val="18"/>
                <w:lang w:eastAsia="zh-CN"/>
              </w:rPr>
              <w:t>、</w:t>
            </w:r>
          </w:p>
          <w:p>
            <w:pPr>
              <w:spacing w:line="350" w:lineRule="exact"/>
              <w:jc w:val="both"/>
              <w:rPr>
                <w:rFonts w:hint="default" w:eastAsia="宋体"/>
                <w:sz w:val="18"/>
                <w:szCs w:val="18"/>
                <w:vertAlign w:val="baseline"/>
                <w:lang w:val="en-US" w:eastAsia="zh-CN"/>
              </w:rPr>
            </w:pPr>
            <w:r>
              <w:rPr>
                <w:rFonts w:hint="eastAsia" w:ascii="Times New Roman" w:hAnsi="Times New Roman" w:cs="Times New Roman"/>
                <w:kern w:val="0"/>
                <w:sz w:val="18"/>
                <w:szCs w:val="18"/>
              </w:rPr>
              <w:t>热塑性聚烯烃（</w:t>
            </w:r>
            <w:r>
              <w:rPr>
                <w:rFonts w:hint="eastAsia"/>
                <w:kern w:val="0"/>
                <w:sz w:val="18"/>
                <w:szCs w:val="18"/>
              </w:rPr>
              <w:t>TPO</w:t>
            </w:r>
            <w:r>
              <w:rPr>
                <w:rFonts w:hint="eastAsia" w:ascii="Times New Roman" w:hAnsi="Times New Roman" w:cs="Times New Roman"/>
                <w:kern w:val="0"/>
                <w:sz w:val="18"/>
                <w:szCs w:val="18"/>
              </w:rPr>
              <w:t>）防水卷材</w:t>
            </w:r>
            <w:r>
              <w:rPr>
                <w:rFonts w:hint="eastAsia" w:ascii="Times New Roman" w:hAnsi="Times New Roman" w:cs="Times New Roman"/>
                <w:kern w:val="0"/>
                <w:sz w:val="18"/>
                <w:szCs w:val="18"/>
                <w:lang w:eastAsia="zh-CN"/>
              </w:rPr>
              <w:t>、</w:t>
            </w:r>
            <w:r>
              <w:rPr>
                <w:rFonts w:hint="eastAsia" w:ascii="Times New Roman" w:hAnsi="Times New Roman" w:cs="Times New Roman"/>
                <w:kern w:val="0"/>
                <w:sz w:val="18"/>
                <w:szCs w:val="18"/>
              </w:rPr>
              <w:t>三元乙丙橡胶（</w:t>
            </w:r>
            <w:r>
              <w:rPr>
                <w:rFonts w:hint="eastAsia"/>
                <w:kern w:val="0"/>
                <w:sz w:val="18"/>
                <w:szCs w:val="18"/>
              </w:rPr>
              <w:t>EPDM</w:t>
            </w:r>
            <w:r>
              <w:rPr>
                <w:rFonts w:hint="eastAsia" w:ascii="Times New Roman" w:hAnsi="Times New Roman" w:cs="Times New Roman"/>
                <w:kern w:val="0"/>
                <w:sz w:val="18"/>
                <w:szCs w:val="18"/>
              </w:rPr>
              <w:t>）防水卷材</w:t>
            </w:r>
          </w:p>
        </w:tc>
        <w:tc>
          <w:tcPr>
            <w:tcW w:w="1622" w:type="dxa"/>
            <w:tcBorders>
              <w:tl2br w:val="nil"/>
              <w:tr2bl w:val="nil"/>
            </w:tcBorders>
            <w:vAlign w:val="center"/>
          </w:tcPr>
          <w:p>
            <w:pPr>
              <w:spacing w:line="350" w:lineRule="exact"/>
              <w:jc w:val="center"/>
              <w:rPr>
                <w:rFonts w:hint="eastAsia"/>
                <w:sz w:val="18"/>
                <w:szCs w:val="18"/>
                <w:vertAlign w:val="baseline"/>
                <w:lang w:val="en-US" w:eastAsia="zh-CN"/>
              </w:rPr>
            </w:pPr>
            <w:r>
              <w:rPr>
                <w:rFonts w:hint="eastAsia"/>
                <w:sz w:val="18"/>
                <w:szCs w:val="18"/>
                <w:vertAlign w:val="baseline"/>
                <w:lang w:val="en-US" w:eastAsia="zh-CN"/>
              </w:rPr>
              <w:t>10.1.4</w:t>
            </w:r>
          </w:p>
          <w:p>
            <w:pPr>
              <w:widowControl/>
              <w:spacing w:line="350" w:lineRule="exact"/>
              <w:jc w:val="center"/>
              <w:rPr>
                <w:rFonts w:hint="eastAsia" w:ascii="Times New Roman" w:hAnsi="Times New Roman" w:cs="Times New Roman"/>
                <w:kern w:val="0"/>
                <w:sz w:val="18"/>
                <w:szCs w:val="18"/>
              </w:rPr>
            </w:pPr>
            <w:r>
              <w:rPr>
                <w:rFonts w:hint="eastAsia"/>
                <w:sz w:val="18"/>
                <w:szCs w:val="18"/>
                <w:vertAlign w:val="baseline"/>
                <w:lang w:val="en-US" w:eastAsia="zh-CN"/>
              </w:rPr>
              <w:t>防水卷材屋面采用的防水卷材主要包括：</w:t>
            </w:r>
            <w:r>
              <w:rPr>
                <w:rFonts w:hint="eastAsia" w:ascii="Times New Roman" w:hAnsi="Times New Roman" w:cs="Times New Roman"/>
                <w:kern w:val="0"/>
                <w:sz w:val="18"/>
                <w:szCs w:val="18"/>
              </w:rPr>
              <w:t>聚氯乙烯（</w:t>
            </w:r>
            <w:r>
              <w:rPr>
                <w:rFonts w:hint="eastAsia"/>
                <w:kern w:val="0"/>
                <w:sz w:val="18"/>
                <w:szCs w:val="18"/>
              </w:rPr>
              <w:t>PVC</w:t>
            </w:r>
            <w:r>
              <w:rPr>
                <w:rFonts w:hint="eastAsia" w:ascii="Times New Roman" w:hAnsi="Times New Roman" w:cs="Times New Roman"/>
                <w:kern w:val="0"/>
                <w:sz w:val="18"/>
                <w:szCs w:val="18"/>
              </w:rPr>
              <w:t>）防水卷材</w:t>
            </w:r>
            <w:r>
              <w:rPr>
                <w:rFonts w:hint="eastAsia" w:cs="Times New Roman"/>
                <w:kern w:val="0"/>
                <w:sz w:val="18"/>
                <w:szCs w:val="18"/>
                <w:lang w:eastAsia="zh-CN"/>
              </w:rPr>
              <w:t>、</w:t>
            </w:r>
            <w:r>
              <w:rPr>
                <w:rFonts w:hint="eastAsia" w:ascii="Times New Roman" w:hAnsi="Times New Roman" w:cs="Times New Roman"/>
                <w:kern w:val="0"/>
                <w:sz w:val="18"/>
                <w:szCs w:val="18"/>
              </w:rPr>
              <w:t>三元乙丙橡胶（</w:t>
            </w:r>
            <w:r>
              <w:rPr>
                <w:rFonts w:hint="eastAsia"/>
                <w:kern w:val="0"/>
                <w:sz w:val="18"/>
                <w:szCs w:val="18"/>
              </w:rPr>
              <w:t>EPDM</w:t>
            </w:r>
            <w:r>
              <w:rPr>
                <w:rFonts w:hint="eastAsia" w:ascii="Times New Roman" w:hAnsi="Times New Roman" w:cs="Times New Roman"/>
                <w:kern w:val="0"/>
                <w:sz w:val="18"/>
                <w:szCs w:val="18"/>
              </w:rPr>
              <w:t>）防水卷材</w:t>
            </w:r>
            <w:r>
              <w:rPr>
                <w:rFonts w:hint="eastAsia" w:cs="Times New Roman"/>
                <w:kern w:val="0"/>
                <w:sz w:val="18"/>
                <w:szCs w:val="18"/>
                <w:lang w:eastAsia="zh-CN"/>
              </w:rPr>
              <w:t>、</w:t>
            </w:r>
          </w:p>
          <w:p>
            <w:pPr>
              <w:spacing w:line="350" w:lineRule="exact"/>
              <w:jc w:val="center"/>
              <w:rPr>
                <w:rFonts w:hint="eastAsia" w:eastAsia="宋体"/>
                <w:sz w:val="18"/>
                <w:szCs w:val="18"/>
                <w:vertAlign w:val="baseline"/>
                <w:lang w:val="en-US" w:eastAsia="zh-CN"/>
              </w:rPr>
            </w:pPr>
            <w:r>
              <w:rPr>
                <w:rFonts w:hint="eastAsia" w:ascii="Times New Roman" w:hAnsi="Times New Roman" w:cs="Times New Roman"/>
                <w:kern w:val="0"/>
                <w:sz w:val="18"/>
                <w:szCs w:val="18"/>
              </w:rPr>
              <w:t>热塑性聚烯烃（</w:t>
            </w:r>
            <w:r>
              <w:rPr>
                <w:rFonts w:hint="eastAsia"/>
                <w:kern w:val="0"/>
                <w:sz w:val="18"/>
                <w:szCs w:val="18"/>
              </w:rPr>
              <w:t>TPO</w:t>
            </w:r>
            <w:r>
              <w:rPr>
                <w:rFonts w:hint="eastAsia" w:ascii="Times New Roman" w:hAnsi="Times New Roman" w:cs="Times New Roman"/>
                <w:kern w:val="0"/>
                <w:sz w:val="18"/>
                <w:szCs w:val="18"/>
              </w:rPr>
              <w:t>）防水卷材</w:t>
            </w:r>
            <w:r>
              <w:rPr>
                <w:rFonts w:hint="eastAsia" w:ascii="Times New Roman" w:hAnsi="Times New Roman" w:cs="Times New Roman"/>
                <w:kern w:val="0"/>
                <w:sz w:val="18"/>
                <w:szCs w:val="18"/>
                <w:lang w:eastAsia="zh-CN"/>
              </w:rPr>
              <w:t>、</w:t>
            </w:r>
            <w:r>
              <w:rPr>
                <w:rFonts w:hint="eastAsia" w:cs="Times New Roman"/>
                <w:kern w:val="0"/>
                <w:sz w:val="18"/>
                <w:szCs w:val="18"/>
                <w:lang w:eastAsia="zh-CN"/>
              </w:rPr>
              <w:t>弹性体（</w:t>
            </w:r>
            <w:r>
              <w:rPr>
                <w:rFonts w:hint="eastAsia" w:cs="Times New Roman"/>
                <w:kern w:val="0"/>
                <w:sz w:val="18"/>
                <w:szCs w:val="18"/>
                <w:lang w:val="en-US" w:eastAsia="zh-CN"/>
              </w:rPr>
              <w:t>SBS</w:t>
            </w:r>
            <w:r>
              <w:rPr>
                <w:rFonts w:hint="eastAsia" w:cs="Times New Roman"/>
                <w:kern w:val="0"/>
                <w:sz w:val="18"/>
                <w:szCs w:val="18"/>
                <w:lang w:eastAsia="zh-CN"/>
              </w:rPr>
              <w:t>）改性沥青防水卷材、塑性体（</w:t>
            </w:r>
            <w:r>
              <w:rPr>
                <w:rFonts w:hint="eastAsia" w:cs="Times New Roman"/>
                <w:kern w:val="0"/>
                <w:sz w:val="18"/>
                <w:szCs w:val="18"/>
                <w:lang w:val="en-US" w:eastAsia="zh-CN"/>
              </w:rPr>
              <w:t>APP</w:t>
            </w:r>
            <w:r>
              <w:rPr>
                <w:rFonts w:hint="eastAsia" w:cs="Times New Roman"/>
                <w:kern w:val="0"/>
                <w:sz w:val="18"/>
                <w:szCs w:val="18"/>
                <w:lang w:eastAsia="zh-CN"/>
              </w:rPr>
              <w:t>）改性沥青防水卷材</w:t>
            </w:r>
          </w:p>
        </w:tc>
        <w:tc>
          <w:tcPr>
            <w:tcW w:w="1637" w:type="dxa"/>
            <w:tcBorders>
              <w:tl2br w:val="nil"/>
              <w:tr2bl w:val="nil"/>
            </w:tcBorders>
            <w:vAlign w:val="center"/>
          </w:tcPr>
          <w:p>
            <w:pPr>
              <w:spacing w:line="350" w:lineRule="exact"/>
              <w:jc w:val="center"/>
              <w:rPr>
                <w:rFonts w:hint="eastAsia"/>
                <w:sz w:val="18"/>
                <w:szCs w:val="18"/>
                <w:lang w:val="en-US" w:eastAsia="zh-CN"/>
              </w:rPr>
            </w:pPr>
            <w:r>
              <w:rPr>
                <w:rFonts w:hint="eastAsia"/>
                <w:sz w:val="18"/>
                <w:szCs w:val="18"/>
                <w:lang w:val="en-US" w:eastAsia="zh-CN"/>
              </w:rPr>
              <w:t>4.4.4</w:t>
            </w:r>
          </w:p>
          <w:p>
            <w:pPr>
              <w:spacing w:line="350" w:lineRule="exact"/>
              <w:jc w:val="center"/>
              <w:rPr>
                <w:rFonts w:hint="eastAsia"/>
                <w:sz w:val="18"/>
                <w:szCs w:val="18"/>
                <w:vertAlign w:val="baseline"/>
              </w:rPr>
            </w:pPr>
            <w:r>
              <w:rPr>
                <w:rFonts w:hint="eastAsia"/>
                <w:sz w:val="18"/>
                <w:szCs w:val="18"/>
              </w:rPr>
              <w:t>改性沥青防水卷材应选用玻纤增强聚酯毡胎基产品；外露使用的防水卷材表面应覆有页岩片、粗矿物颗粒等耐候性、难燃性保护材料。</w:t>
            </w:r>
          </w:p>
        </w:tc>
        <w:tc>
          <w:tcPr>
            <w:tcW w:w="1895" w:type="dxa"/>
            <w:tcBorders>
              <w:tl2br w:val="nil"/>
              <w:tr2bl w:val="nil"/>
            </w:tcBorders>
            <w:vAlign w:val="center"/>
          </w:tcPr>
          <w:p>
            <w:pPr>
              <w:spacing w:line="350" w:lineRule="exact"/>
              <w:jc w:val="center"/>
              <w:rPr>
                <w:rFonts w:hint="eastAsia"/>
                <w:sz w:val="18"/>
                <w:szCs w:val="18"/>
                <w:vertAlign w:val="baseline"/>
                <w:lang w:val="en-US" w:eastAsia="zh-CN"/>
              </w:rPr>
            </w:pPr>
            <w:r>
              <w:rPr>
                <w:rFonts w:hint="eastAsia"/>
                <w:sz w:val="18"/>
                <w:szCs w:val="18"/>
                <w:vertAlign w:val="baseline"/>
                <w:lang w:val="en-US" w:eastAsia="zh-CN"/>
              </w:rPr>
              <w:t>4.4.2</w:t>
            </w:r>
          </w:p>
          <w:p>
            <w:pPr>
              <w:widowControl/>
              <w:spacing w:line="350" w:lineRule="exact"/>
              <w:jc w:val="center"/>
              <w:rPr>
                <w:rFonts w:hint="eastAsia" w:ascii="Times New Roman" w:hAnsi="Times New Roman" w:cs="Times New Roman"/>
                <w:kern w:val="0"/>
                <w:sz w:val="18"/>
                <w:szCs w:val="18"/>
              </w:rPr>
            </w:pPr>
            <w:r>
              <w:rPr>
                <w:rFonts w:hint="eastAsia"/>
                <w:sz w:val="18"/>
                <w:szCs w:val="18"/>
                <w:vertAlign w:val="baseline"/>
                <w:lang w:val="en-US" w:eastAsia="zh-CN"/>
              </w:rPr>
              <w:t>防水层应采用防水卷材。防水卷材种类包括：</w:t>
            </w:r>
            <w:r>
              <w:rPr>
                <w:rFonts w:hint="eastAsia" w:ascii="Times New Roman" w:hAnsi="Times New Roman" w:cs="Times New Roman"/>
                <w:kern w:val="0"/>
                <w:sz w:val="18"/>
                <w:szCs w:val="18"/>
              </w:rPr>
              <w:t>聚氯乙烯（</w:t>
            </w:r>
            <w:r>
              <w:rPr>
                <w:rFonts w:hint="eastAsia"/>
                <w:kern w:val="0"/>
                <w:sz w:val="18"/>
                <w:szCs w:val="18"/>
              </w:rPr>
              <w:t>PVC</w:t>
            </w:r>
            <w:r>
              <w:rPr>
                <w:rFonts w:hint="eastAsia" w:ascii="Times New Roman" w:hAnsi="Times New Roman" w:cs="Times New Roman"/>
                <w:kern w:val="0"/>
                <w:sz w:val="18"/>
                <w:szCs w:val="18"/>
              </w:rPr>
              <w:t>）防水卷材</w:t>
            </w:r>
            <w:r>
              <w:rPr>
                <w:rFonts w:hint="eastAsia" w:cs="Times New Roman"/>
                <w:kern w:val="0"/>
                <w:sz w:val="18"/>
                <w:szCs w:val="18"/>
                <w:lang w:eastAsia="zh-CN"/>
              </w:rPr>
              <w:t>、</w:t>
            </w:r>
          </w:p>
          <w:p>
            <w:pPr>
              <w:spacing w:line="350" w:lineRule="exact"/>
              <w:jc w:val="center"/>
              <w:rPr>
                <w:rFonts w:hint="eastAsia" w:eastAsia="宋体"/>
                <w:sz w:val="18"/>
                <w:szCs w:val="18"/>
                <w:vertAlign w:val="baseline"/>
                <w:lang w:val="en-US" w:eastAsia="zh-CN"/>
              </w:rPr>
            </w:pPr>
            <w:r>
              <w:rPr>
                <w:rFonts w:hint="eastAsia" w:ascii="Times New Roman" w:hAnsi="Times New Roman" w:cs="Times New Roman"/>
                <w:kern w:val="0"/>
                <w:sz w:val="18"/>
                <w:szCs w:val="18"/>
              </w:rPr>
              <w:t>热塑性聚烯烃（</w:t>
            </w:r>
            <w:r>
              <w:rPr>
                <w:rFonts w:hint="eastAsia"/>
                <w:kern w:val="0"/>
                <w:sz w:val="18"/>
                <w:szCs w:val="18"/>
              </w:rPr>
              <w:t>TPO</w:t>
            </w:r>
            <w:r>
              <w:rPr>
                <w:rFonts w:hint="eastAsia" w:ascii="Times New Roman" w:hAnsi="Times New Roman" w:cs="Times New Roman"/>
                <w:kern w:val="0"/>
                <w:sz w:val="18"/>
                <w:szCs w:val="18"/>
              </w:rPr>
              <w:t>）防水卷材</w:t>
            </w:r>
            <w:r>
              <w:rPr>
                <w:rFonts w:hint="eastAsia" w:ascii="Times New Roman" w:hAnsi="Times New Roman" w:cs="Times New Roman"/>
                <w:kern w:val="0"/>
                <w:sz w:val="18"/>
                <w:szCs w:val="18"/>
                <w:lang w:eastAsia="zh-CN"/>
              </w:rPr>
              <w:t>、</w:t>
            </w:r>
            <w:r>
              <w:rPr>
                <w:rFonts w:hint="eastAsia" w:ascii="Times New Roman" w:hAnsi="Times New Roman" w:cs="Times New Roman"/>
                <w:kern w:val="0"/>
                <w:sz w:val="18"/>
                <w:szCs w:val="18"/>
              </w:rPr>
              <w:t>三元乙丙橡胶（</w:t>
            </w:r>
            <w:r>
              <w:rPr>
                <w:rFonts w:hint="eastAsia"/>
                <w:kern w:val="0"/>
                <w:sz w:val="18"/>
                <w:szCs w:val="18"/>
              </w:rPr>
              <w:t>EPDM</w:t>
            </w:r>
            <w:r>
              <w:rPr>
                <w:rFonts w:hint="eastAsia" w:ascii="Times New Roman" w:hAnsi="Times New Roman" w:cs="Times New Roman"/>
                <w:kern w:val="0"/>
                <w:sz w:val="18"/>
                <w:szCs w:val="18"/>
              </w:rPr>
              <w:t>）防水卷材</w:t>
            </w:r>
            <w:r>
              <w:rPr>
                <w:rFonts w:hint="eastAsia" w:cs="Times New Roman"/>
                <w:kern w:val="0"/>
                <w:sz w:val="18"/>
                <w:szCs w:val="18"/>
                <w:lang w:eastAsia="zh-CN"/>
              </w:rPr>
              <w:t>、自粘聚合物改性沥青防水卷材</w:t>
            </w:r>
          </w:p>
        </w:tc>
        <w:tc>
          <w:tcPr>
            <w:tcW w:w="2220" w:type="dxa"/>
            <w:tcBorders>
              <w:tl2br w:val="nil"/>
              <w:tr2bl w:val="nil"/>
            </w:tcBorders>
            <w:vAlign w:val="center"/>
          </w:tcPr>
          <w:p>
            <w:pPr>
              <w:widowControl/>
              <w:spacing w:line="350" w:lineRule="exact"/>
              <w:jc w:val="center"/>
              <w:rPr>
                <w:rFonts w:hint="eastAsia" w:ascii="Times New Roman" w:hAnsi="Times New Roman" w:cs="Times New Roman"/>
                <w:kern w:val="0"/>
                <w:sz w:val="18"/>
                <w:szCs w:val="18"/>
              </w:rPr>
            </w:pPr>
            <w:r>
              <w:rPr>
                <w:rFonts w:hint="eastAsia"/>
                <w:sz w:val="18"/>
                <w:szCs w:val="18"/>
                <w:vertAlign w:val="baseline"/>
                <w:lang w:eastAsia="zh-CN"/>
              </w:rPr>
              <w:t>待发布的全文强制性标准《规范》内</w:t>
            </w:r>
            <w:r>
              <w:rPr>
                <w:rFonts w:hint="eastAsia"/>
                <w:sz w:val="18"/>
                <w:szCs w:val="18"/>
                <w:vertAlign w:val="baseline"/>
                <w:lang w:val="en-US" w:eastAsia="zh-CN"/>
              </w:rPr>
              <w:t>4.4.1-3</w:t>
            </w:r>
            <w:r>
              <w:rPr>
                <w:rFonts w:hint="eastAsia"/>
                <w:sz w:val="18"/>
                <w:szCs w:val="18"/>
                <w:vertAlign w:val="baseline"/>
                <w:lang w:eastAsia="zh-CN"/>
              </w:rPr>
              <w:t>要求，金属</w:t>
            </w:r>
            <w:r>
              <w:rPr>
                <w:rFonts w:hint="eastAsia" w:ascii="Times New Roman" w:hAnsi="Times New Roman" w:eastAsia="宋体" w:cs="Times New Roman"/>
                <w:kern w:val="2"/>
                <w:sz w:val="18"/>
                <w:szCs w:val="18"/>
                <w:lang w:val="en-US" w:eastAsia="zh-CN" w:bidi="ar"/>
              </w:rPr>
              <w:t>屋面工程防水</w:t>
            </w:r>
            <w:r>
              <w:rPr>
                <w:rFonts w:hint="eastAsia" w:cs="Times New Roman"/>
                <w:kern w:val="2"/>
                <w:sz w:val="18"/>
                <w:szCs w:val="18"/>
                <w:lang w:val="en-US" w:eastAsia="zh-CN" w:bidi="ar"/>
              </w:rPr>
              <w:t>做法中，防水卷材为：</w:t>
            </w:r>
            <w:r>
              <w:rPr>
                <w:rFonts w:hint="eastAsia" w:ascii="Times New Roman" w:hAnsi="Times New Roman" w:cs="Times New Roman"/>
                <w:kern w:val="0"/>
                <w:sz w:val="18"/>
                <w:szCs w:val="18"/>
              </w:rPr>
              <w:t>聚氯乙烯（</w:t>
            </w:r>
            <w:r>
              <w:rPr>
                <w:rFonts w:hint="eastAsia"/>
                <w:kern w:val="0"/>
                <w:sz w:val="18"/>
                <w:szCs w:val="18"/>
              </w:rPr>
              <w:t>PVC</w:t>
            </w:r>
            <w:r>
              <w:rPr>
                <w:rFonts w:hint="eastAsia" w:ascii="Times New Roman" w:hAnsi="Times New Roman" w:cs="Times New Roman"/>
                <w:kern w:val="0"/>
                <w:sz w:val="18"/>
                <w:szCs w:val="18"/>
              </w:rPr>
              <w:t>）防水卷材</w:t>
            </w:r>
            <w:r>
              <w:rPr>
                <w:rFonts w:hint="eastAsia" w:cs="Times New Roman"/>
                <w:kern w:val="0"/>
                <w:sz w:val="18"/>
                <w:szCs w:val="18"/>
                <w:lang w:eastAsia="zh-CN"/>
              </w:rPr>
              <w:t>、</w:t>
            </w:r>
          </w:p>
          <w:p>
            <w:pPr>
              <w:spacing w:line="350" w:lineRule="exact"/>
              <w:jc w:val="center"/>
              <w:rPr>
                <w:rFonts w:hint="eastAsia" w:eastAsia="宋体"/>
                <w:sz w:val="18"/>
                <w:szCs w:val="18"/>
                <w:vertAlign w:val="baseline"/>
                <w:lang w:eastAsia="zh-CN"/>
              </w:rPr>
            </w:pPr>
            <w:r>
              <w:rPr>
                <w:rFonts w:hint="eastAsia" w:ascii="Times New Roman" w:hAnsi="Times New Roman" w:cs="Times New Roman"/>
                <w:kern w:val="0"/>
                <w:sz w:val="18"/>
                <w:szCs w:val="18"/>
              </w:rPr>
              <w:t>热塑性聚烯烃（</w:t>
            </w:r>
            <w:r>
              <w:rPr>
                <w:rFonts w:hint="eastAsia"/>
                <w:kern w:val="0"/>
                <w:sz w:val="18"/>
                <w:szCs w:val="18"/>
              </w:rPr>
              <w:t>TPO</w:t>
            </w:r>
            <w:r>
              <w:rPr>
                <w:rFonts w:hint="eastAsia" w:ascii="Times New Roman" w:hAnsi="Times New Roman" w:cs="Times New Roman"/>
                <w:kern w:val="0"/>
                <w:sz w:val="18"/>
                <w:szCs w:val="18"/>
              </w:rPr>
              <w:t>）防水卷材</w:t>
            </w:r>
            <w:r>
              <w:rPr>
                <w:rFonts w:hint="eastAsia" w:ascii="Times New Roman" w:hAnsi="Times New Roman" w:cs="Times New Roman"/>
                <w:kern w:val="0"/>
                <w:sz w:val="18"/>
                <w:szCs w:val="18"/>
                <w:lang w:eastAsia="zh-CN"/>
              </w:rPr>
              <w:t>、</w:t>
            </w:r>
            <w:r>
              <w:rPr>
                <w:rFonts w:hint="eastAsia" w:ascii="Times New Roman" w:hAnsi="Times New Roman" w:cs="Times New Roman"/>
                <w:kern w:val="0"/>
                <w:sz w:val="18"/>
                <w:szCs w:val="18"/>
              </w:rPr>
              <w:t>三元乙丙橡胶（</w:t>
            </w:r>
            <w:r>
              <w:rPr>
                <w:rFonts w:hint="eastAsia"/>
                <w:kern w:val="0"/>
                <w:sz w:val="18"/>
                <w:szCs w:val="18"/>
              </w:rPr>
              <w:t>EPDM</w:t>
            </w:r>
            <w:r>
              <w:rPr>
                <w:rFonts w:hint="eastAsia" w:ascii="Times New Roman" w:hAnsi="Times New Roman" w:cs="Times New Roman"/>
                <w:kern w:val="0"/>
                <w:sz w:val="18"/>
                <w:szCs w:val="18"/>
              </w:rPr>
              <w:t>）防水卷材</w:t>
            </w:r>
            <w:r>
              <w:rPr>
                <w:rFonts w:hint="eastAsia" w:cs="Times New Roman"/>
                <w:kern w:val="0"/>
                <w:sz w:val="18"/>
                <w:szCs w:val="18"/>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2" w:hRule="atLeast"/>
          <w:jc w:val="center"/>
        </w:trPr>
        <w:tc>
          <w:tcPr>
            <w:tcW w:w="645" w:type="dxa"/>
            <w:tcBorders>
              <w:tl2br w:val="nil"/>
              <w:tr2bl w:val="nil"/>
            </w:tcBorders>
            <w:vAlign w:val="center"/>
          </w:tcPr>
          <w:p>
            <w:pPr>
              <w:spacing w:line="350" w:lineRule="exact"/>
              <w:jc w:val="center"/>
              <w:rPr>
                <w:rFonts w:hint="default"/>
                <w:sz w:val="18"/>
                <w:szCs w:val="18"/>
                <w:vertAlign w:val="baseline"/>
                <w:lang w:val="en-US" w:eastAsia="zh-CN"/>
              </w:rPr>
            </w:pPr>
            <w:r>
              <w:rPr>
                <w:rFonts w:hint="eastAsia"/>
                <w:sz w:val="18"/>
                <w:szCs w:val="18"/>
                <w:vertAlign w:val="baseline"/>
                <w:lang w:val="en-US" w:eastAsia="zh-CN"/>
              </w:rPr>
              <w:t>3</w:t>
            </w:r>
          </w:p>
        </w:tc>
        <w:tc>
          <w:tcPr>
            <w:tcW w:w="1413" w:type="dxa"/>
            <w:tcBorders>
              <w:tl2br w:val="nil"/>
              <w:tr2bl w:val="nil"/>
            </w:tcBorders>
            <w:vAlign w:val="center"/>
          </w:tcPr>
          <w:p>
            <w:pPr>
              <w:spacing w:line="350" w:lineRule="exact"/>
              <w:jc w:val="center"/>
              <w:rPr>
                <w:rFonts w:hint="eastAsia"/>
                <w:sz w:val="18"/>
                <w:szCs w:val="18"/>
                <w:vertAlign w:val="baseline"/>
                <w:lang w:val="en-US" w:eastAsia="zh-CN"/>
              </w:rPr>
            </w:pPr>
            <w:r>
              <w:rPr>
                <w:rFonts w:hint="eastAsia"/>
                <w:sz w:val="18"/>
                <w:szCs w:val="18"/>
                <w:vertAlign w:val="baseline"/>
                <w:lang w:val="en-US" w:eastAsia="zh-CN"/>
              </w:rPr>
              <w:t>3.5</w:t>
            </w:r>
          </w:p>
          <w:p>
            <w:pPr>
              <w:spacing w:line="350" w:lineRule="exact"/>
              <w:jc w:val="left"/>
              <w:rPr>
                <w:rFonts w:hint="eastAsia"/>
                <w:sz w:val="18"/>
                <w:szCs w:val="18"/>
                <w:vertAlign w:val="baseline"/>
                <w:lang w:val="en-US" w:eastAsia="zh-CN"/>
              </w:rPr>
            </w:pPr>
            <w:r>
              <w:rPr>
                <w:rFonts w:hint="eastAsia"/>
                <w:sz w:val="18"/>
                <w:szCs w:val="18"/>
                <w:vertAlign w:val="baseline"/>
                <w:lang w:val="en-US" w:eastAsia="zh-CN"/>
              </w:rPr>
              <w:t>机械固定件</w:t>
            </w:r>
          </w:p>
          <w:p>
            <w:pPr>
              <w:spacing w:line="350" w:lineRule="exact"/>
              <w:rPr>
                <w:rFonts w:hint="eastAsia"/>
                <w:bCs/>
                <w:sz w:val="18"/>
                <w:szCs w:val="18"/>
              </w:rPr>
            </w:pPr>
            <w:r>
              <w:rPr>
                <w:rFonts w:hint="eastAsia"/>
                <w:bCs/>
                <w:sz w:val="18"/>
                <w:szCs w:val="18"/>
              </w:rPr>
              <w:t>在常年干燥或相对湿度低于70%的使用环境下可选用碳钢固定件。</w:t>
            </w:r>
          </w:p>
          <w:p>
            <w:pPr>
              <w:spacing w:line="350" w:lineRule="exact"/>
              <w:rPr>
                <w:rFonts w:hint="eastAsia"/>
                <w:bCs/>
                <w:sz w:val="18"/>
                <w:szCs w:val="18"/>
              </w:rPr>
            </w:pPr>
            <w:r>
              <w:rPr>
                <w:rFonts w:hint="eastAsia"/>
                <w:bCs/>
                <w:sz w:val="18"/>
                <w:szCs w:val="18"/>
              </w:rPr>
              <w:t>在严寒及寒冷地区，采用纤维状绝热材料的保温层宜采用套管加螺钉固定。</w:t>
            </w:r>
          </w:p>
          <w:p>
            <w:pPr>
              <w:spacing w:line="350" w:lineRule="exact"/>
              <w:jc w:val="left"/>
              <w:rPr>
                <w:rFonts w:hint="default"/>
                <w:sz w:val="18"/>
                <w:szCs w:val="18"/>
                <w:lang w:val="en-US" w:eastAsia="zh-CN"/>
              </w:rPr>
            </w:pPr>
            <w:r>
              <w:rPr>
                <w:rFonts w:hint="eastAsia"/>
                <w:sz w:val="18"/>
                <w:szCs w:val="18"/>
              </w:rPr>
              <w:t>在海洋气候区及腐蚀性环境下，应采用奥氏体不锈钢螺钉及配套尼龙聚酯压条。</w:t>
            </w:r>
          </w:p>
        </w:tc>
        <w:tc>
          <w:tcPr>
            <w:tcW w:w="1622" w:type="dxa"/>
            <w:tcBorders>
              <w:tl2br w:val="nil"/>
              <w:tr2bl w:val="nil"/>
            </w:tcBorders>
            <w:vAlign w:val="center"/>
          </w:tcPr>
          <w:p>
            <w:pPr>
              <w:spacing w:line="350" w:lineRule="exact"/>
              <w:jc w:val="center"/>
              <w:rPr>
                <w:rFonts w:hint="eastAsia"/>
                <w:sz w:val="18"/>
                <w:szCs w:val="18"/>
                <w:vertAlign w:val="baseline"/>
                <w:lang w:val="en-US" w:eastAsia="zh-CN"/>
              </w:rPr>
            </w:pPr>
            <w:r>
              <w:rPr>
                <w:rFonts w:hint="eastAsia"/>
                <w:sz w:val="18"/>
                <w:szCs w:val="18"/>
                <w:vertAlign w:val="baseline"/>
                <w:lang w:val="en-US" w:eastAsia="zh-CN"/>
              </w:rPr>
              <w:t>4.10</w:t>
            </w:r>
          </w:p>
          <w:p>
            <w:pPr>
              <w:spacing w:line="350" w:lineRule="exact"/>
              <w:jc w:val="center"/>
              <w:rPr>
                <w:rFonts w:hint="eastAsia"/>
                <w:sz w:val="18"/>
                <w:szCs w:val="18"/>
                <w:vertAlign w:val="baseline"/>
                <w:lang w:val="en-US" w:eastAsia="zh-CN"/>
              </w:rPr>
            </w:pPr>
            <w:r>
              <w:rPr>
                <w:rFonts w:hint="eastAsia"/>
                <w:sz w:val="18"/>
                <w:szCs w:val="18"/>
                <w:vertAlign w:val="baseline"/>
                <w:lang w:val="en-US" w:eastAsia="zh-CN"/>
              </w:rPr>
              <w:t>机械固定件</w:t>
            </w:r>
          </w:p>
          <w:p>
            <w:pPr>
              <w:spacing w:line="350" w:lineRule="exact"/>
              <w:jc w:val="center"/>
              <w:rPr>
                <w:rFonts w:hint="default"/>
                <w:sz w:val="18"/>
                <w:szCs w:val="18"/>
                <w:vertAlign w:val="baseline"/>
                <w:lang w:val="en-US" w:eastAsia="zh-CN"/>
              </w:rPr>
            </w:pPr>
            <w:r>
              <w:rPr>
                <w:rFonts w:hint="eastAsia"/>
                <w:sz w:val="18"/>
                <w:szCs w:val="18"/>
                <w:vertAlign w:val="baseline"/>
                <w:lang w:val="en-US" w:eastAsia="zh-CN"/>
              </w:rPr>
              <w:t>机械固定件在高湿、高温、腐蚀等环境下使用时，室内保持湿度大于70%时，应采用不锈钢螺钉</w:t>
            </w:r>
          </w:p>
        </w:tc>
        <w:tc>
          <w:tcPr>
            <w:tcW w:w="1637" w:type="dxa"/>
            <w:tcBorders>
              <w:tl2br w:val="nil"/>
              <w:tr2bl w:val="nil"/>
            </w:tcBorders>
            <w:vAlign w:val="center"/>
          </w:tcPr>
          <w:p>
            <w:pPr>
              <w:pStyle w:val="62"/>
              <w:spacing w:line="350" w:lineRule="exact"/>
              <w:jc w:val="center"/>
              <w:outlineLvl w:val="9"/>
              <w:rPr>
                <w:rFonts w:hint="default" w:eastAsia="宋体"/>
                <w:kern w:val="2"/>
                <w:sz w:val="18"/>
                <w:szCs w:val="18"/>
                <w:lang w:val="en-US" w:eastAsia="zh-CN"/>
              </w:rPr>
            </w:pPr>
            <w:r>
              <w:rPr>
                <w:rFonts w:hint="default" w:eastAsia="宋体"/>
                <w:kern w:val="2"/>
                <w:sz w:val="18"/>
                <w:szCs w:val="18"/>
                <w:lang w:val="en-US" w:eastAsia="zh-CN"/>
              </w:rPr>
              <w:t>4.5</w:t>
            </w:r>
          </w:p>
          <w:p>
            <w:pPr>
              <w:pStyle w:val="62"/>
              <w:spacing w:line="350" w:lineRule="exact"/>
              <w:jc w:val="center"/>
              <w:outlineLvl w:val="9"/>
              <w:rPr>
                <w:rFonts w:hint="eastAsia" w:eastAsia="宋体"/>
                <w:kern w:val="2"/>
                <w:sz w:val="18"/>
                <w:szCs w:val="18"/>
                <w:lang w:val="en-US" w:eastAsia="zh-CN"/>
              </w:rPr>
            </w:pPr>
            <w:r>
              <w:rPr>
                <w:rFonts w:hint="default" w:eastAsia="宋体"/>
                <w:kern w:val="2"/>
                <w:sz w:val="18"/>
                <w:szCs w:val="18"/>
                <w:vertAlign w:val="baseline"/>
                <w:lang w:val="en-US" w:eastAsia="zh-CN"/>
              </w:rPr>
              <w:t>固定件</w:t>
            </w:r>
          </w:p>
          <w:p>
            <w:pPr>
              <w:pStyle w:val="35"/>
              <w:autoSpaceDE/>
              <w:autoSpaceDN/>
              <w:spacing w:line="350" w:lineRule="exact"/>
              <w:ind w:firstLine="0" w:firstLineChars="0"/>
              <w:jc w:val="center"/>
              <w:rPr>
                <w:rFonts w:hint="default"/>
                <w:sz w:val="18"/>
                <w:szCs w:val="18"/>
                <w:lang w:val="en-US" w:eastAsia="zh-CN"/>
              </w:rPr>
            </w:pPr>
            <w:r>
              <w:rPr>
                <w:rFonts w:hint="eastAsia" w:ascii="Times New Roman"/>
                <w:kern w:val="2"/>
                <w:sz w:val="18"/>
                <w:szCs w:val="18"/>
                <w:vertAlign w:val="baseline"/>
                <w:lang w:val="en-US" w:eastAsia="zh-CN"/>
              </w:rPr>
              <w:t>在高湿、高温、腐蚀等环境下，或室内常年湿度大于70%时，应采用不锈钢螺钉</w:t>
            </w:r>
          </w:p>
        </w:tc>
        <w:tc>
          <w:tcPr>
            <w:tcW w:w="1895" w:type="dxa"/>
            <w:tcBorders>
              <w:tl2br w:val="nil"/>
              <w:tr2bl w:val="nil"/>
            </w:tcBorders>
            <w:vAlign w:val="center"/>
          </w:tcPr>
          <w:p>
            <w:pPr>
              <w:spacing w:line="350" w:lineRule="exact"/>
              <w:jc w:val="center"/>
              <w:rPr>
                <w:rFonts w:hint="eastAsia"/>
                <w:sz w:val="18"/>
                <w:szCs w:val="18"/>
                <w:vertAlign w:val="baseline"/>
                <w:lang w:val="en-US" w:eastAsia="zh-CN"/>
              </w:rPr>
            </w:pPr>
            <w:r>
              <w:rPr>
                <w:rFonts w:hint="eastAsia"/>
                <w:sz w:val="18"/>
                <w:szCs w:val="18"/>
                <w:vertAlign w:val="baseline"/>
                <w:lang w:val="en-US" w:eastAsia="zh-CN"/>
              </w:rPr>
              <w:t>4.7.6</w:t>
            </w:r>
          </w:p>
          <w:p>
            <w:pPr>
              <w:spacing w:line="350" w:lineRule="exact"/>
              <w:jc w:val="center"/>
              <w:rPr>
                <w:rFonts w:hint="default"/>
                <w:sz w:val="18"/>
                <w:szCs w:val="18"/>
                <w:vertAlign w:val="baseline"/>
                <w:lang w:val="en-US" w:eastAsia="zh-CN"/>
              </w:rPr>
            </w:pPr>
            <w:r>
              <w:rPr>
                <w:rFonts w:hint="eastAsia"/>
                <w:sz w:val="18"/>
                <w:szCs w:val="18"/>
                <w:vertAlign w:val="baseline"/>
                <w:lang w:val="en-US" w:eastAsia="zh-CN"/>
              </w:rPr>
              <w:t>紧固件材质及涂镀层应根据使用部位、使用环境和使用年限要求进行选择</w:t>
            </w:r>
          </w:p>
        </w:tc>
        <w:tc>
          <w:tcPr>
            <w:tcW w:w="2220" w:type="dxa"/>
            <w:tcBorders>
              <w:tl2br w:val="nil"/>
              <w:tr2bl w:val="nil"/>
            </w:tcBorders>
            <w:vAlign w:val="center"/>
          </w:tcPr>
          <w:p>
            <w:pPr>
              <w:spacing w:line="350" w:lineRule="exact"/>
              <w:jc w:val="center"/>
              <w:rPr>
                <w:rFonts w:hint="eastAsia"/>
                <w:sz w:val="18"/>
                <w:szCs w:val="18"/>
                <w:lang w:eastAsia="zh-CN"/>
              </w:rPr>
            </w:pPr>
            <w:r>
              <w:rPr>
                <w:rFonts w:hint="eastAsia"/>
                <w:sz w:val="18"/>
                <w:szCs w:val="18"/>
              </w:rPr>
              <w:t>现行行业标准《防水卷材屋面用机械固定件》JG/T 576</w:t>
            </w:r>
            <w:r>
              <w:rPr>
                <w:rFonts w:hint="eastAsia"/>
                <w:sz w:val="18"/>
                <w:szCs w:val="18"/>
                <w:lang w:eastAsia="zh-CN"/>
              </w:rPr>
              <w:t>中，对固定钉、套管、压条等主要物理性能做出了定义；</w:t>
            </w:r>
          </w:p>
          <w:p>
            <w:pPr>
              <w:spacing w:line="350" w:lineRule="exact"/>
              <w:jc w:val="center"/>
              <w:rPr>
                <w:rFonts w:hint="eastAsia"/>
                <w:sz w:val="18"/>
                <w:szCs w:val="18"/>
                <w:lang w:eastAsia="zh-CN"/>
              </w:rPr>
            </w:pPr>
            <w:r>
              <w:rPr>
                <w:rFonts w:hint="eastAsia" w:ascii="Times New Roman" w:hAnsi="Times New Roman" w:eastAsia="宋体"/>
                <w:sz w:val="18"/>
                <w:szCs w:val="18"/>
              </w:rPr>
              <w:t>目前市场上常用的固定件规格，结合工程实际需要，防水卷材屋面用机械固定件的常用规格</w:t>
            </w:r>
            <w:r>
              <w:rPr>
                <w:rFonts w:hint="eastAsia"/>
                <w:sz w:val="18"/>
                <w:szCs w:val="18"/>
                <w:lang w:eastAsia="zh-CN"/>
              </w:rPr>
              <w:t>及使用环境不断提升不断完善。</w:t>
            </w:r>
          </w:p>
          <w:p>
            <w:pPr>
              <w:spacing w:line="350" w:lineRule="exact"/>
              <w:jc w:val="center"/>
              <w:rPr>
                <w:rFonts w:hint="eastAsia" w:eastAsia="宋体"/>
                <w:sz w:val="18"/>
                <w:szCs w:val="18"/>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tcBorders>
              <w:tl2br w:val="nil"/>
              <w:tr2bl w:val="nil"/>
            </w:tcBorders>
            <w:vAlign w:val="center"/>
          </w:tcPr>
          <w:p>
            <w:pPr>
              <w:spacing w:line="350" w:lineRule="exact"/>
              <w:jc w:val="center"/>
              <w:rPr>
                <w:rFonts w:hint="default"/>
                <w:sz w:val="18"/>
                <w:szCs w:val="18"/>
                <w:vertAlign w:val="baseline"/>
                <w:lang w:val="en-US" w:eastAsia="zh-CN"/>
              </w:rPr>
            </w:pPr>
            <w:r>
              <w:rPr>
                <w:rFonts w:hint="eastAsia"/>
                <w:sz w:val="18"/>
                <w:szCs w:val="18"/>
                <w:vertAlign w:val="baseline"/>
                <w:lang w:val="en-US" w:eastAsia="zh-CN"/>
              </w:rPr>
              <w:t>4</w:t>
            </w:r>
          </w:p>
        </w:tc>
        <w:tc>
          <w:tcPr>
            <w:tcW w:w="1413" w:type="dxa"/>
            <w:tcBorders>
              <w:tl2br w:val="nil"/>
              <w:tr2bl w:val="nil"/>
            </w:tcBorders>
            <w:vAlign w:val="center"/>
          </w:tcPr>
          <w:p>
            <w:pPr>
              <w:spacing w:line="350" w:lineRule="exact"/>
              <w:jc w:val="center"/>
              <w:rPr>
                <w:rFonts w:hint="default" w:eastAsia="宋体"/>
                <w:sz w:val="18"/>
                <w:szCs w:val="18"/>
                <w:vertAlign w:val="baseline"/>
                <w:lang w:val="en-US" w:eastAsia="zh-CN"/>
              </w:rPr>
            </w:pPr>
            <w:r>
              <w:rPr>
                <w:rFonts w:hint="eastAsia"/>
                <w:sz w:val="18"/>
                <w:szCs w:val="18"/>
                <w:vertAlign w:val="baseline"/>
                <w:lang w:val="en-US" w:eastAsia="zh-CN"/>
              </w:rPr>
              <w:t>3.6</w:t>
            </w:r>
            <w:r>
              <w:rPr>
                <w:rFonts w:hint="eastAsia"/>
                <w:sz w:val="18"/>
                <w:szCs w:val="18"/>
                <w:vertAlign w:val="baseline"/>
                <w:lang w:val="en-US" w:eastAsia="zh-CN"/>
              </w:rPr>
              <w:br w:type="textWrapping"/>
            </w:r>
            <w:r>
              <w:rPr>
                <w:rFonts w:hint="eastAsia"/>
                <w:sz w:val="18"/>
                <w:szCs w:val="18"/>
                <w:vertAlign w:val="baseline"/>
                <w:lang w:val="en-US" w:eastAsia="zh-CN"/>
              </w:rPr>
              <w:t>施工机具</w:t>
            </w:r>
          </w:p>
        </w:tc>
        <w:tc>
          <w:tcPr>
            <w:tcW w:w="1622" w:type="dxa"/>
            <w:tcBorders>
              <w:tl2br w:val="nil"/>
              <w:tr2bl w:val="nil"/>
            </w:tcBorders>
            <w:vAlign w:val="center"/>
          </w:tcPr>
          <w:p>
            <w:pPr>
              <w:spacing w:line="350" w:lineRule="exact"/>
              <w:jc w:val="center"/>
              <w:rPr>
                <w:rFonts w:hint="eastAsia" w:eastAsia="宋体"/>
                <w:sz w:val="18"/>
                <w:szCs w:val="18"/>
                <w:vertAlign w:val="baseline"/>
                <w:lang w:val="en-US" w:eastAsia="zh-CN"/>
              </w:rPr>
            </w:pPr>
            <w:r>
              <w:rPr>
                <w:rFonts w:hint="eastAsia"/>
                <w:sz w:val="18"/>
                <w:szCs w:val="18"/>
                <w:vertAlign w:val="baseline"/>
                <w:lang w:val="en-US" w:eastAsia="zh-CN"/>
              </w:rPr>
              <w:t>无</w:t>
            </w:r>
          </w:p>
        </w:tc>
        <w:tc>
          <w:tcPr>
            <w:tcW w:w="1637" w:type="dxa"/>
            <w:tcBorders>
              <w:tl2br w:val="nil"/>
              <w:tr2bl w:val="nil"/>
            </w:tcBorders>
            <w:vAlign w:val="center"/>
          </w:tcPr>
          <w:p>
            <w:pPr>
              <w:spacing w:line="350" w:lineRule="exact"/>
              <w:jc w:val="center"/>
              <w:rPr>
                <w:rFonts w:hint="eastAsia" w:eastAsia="宋体"/>
                <w:sz w:val="18"/>
                <w:szCs w:val="18"/>
                <w:vertAlign w:val="baseline"/>
                <w:lang w:eastAsia="zh-CN"/>
              </w:rPr>
            </w:pPr>
            <w:r>
              <w:rPr>
                <w:rFonts w:hint="eastAsia"/>
                <w:sz w:val="18"/>
                <w:szCs w:val="18"/>
                <w:vertAlign w:val="baseline"/>
                <w:lang w:eastAsia="zh-CN"/>
              </w:rPr>
              <w:t>无</w:t>
            </w:r>
          </w:p>
        </w:tc>
        <w:tc>
          <w:tcPr>
            <w:tcW w:w="1895" w:type="dxa"/>
            <w:tcBorders>
              <w:tl2br w:val="nil"/>
              <w:tr2bl w:val="nil"/>
            </w:tcBorders>
            <w:vAlign w:val="center"/>
          </w:tcPr>
          <w:p>
            <w:pPr>
              <w:spacing w:line="350" w:lineRule="exact"/>
              <w:jc w:val="center"/>
              <w:rPr>
                <w:rFonts w:hint="eastAsia" w:eastAsia="宋体"/>
                <w:sz w:val="18"/>
                <w:szCs w:val="18"/>
                <w:vertAlign w:val="baseline"/>
                <w:lang w:eastAsia="zh-CN"/>
              </w:rPr>
            </w:pPr>
            <w:r>
              <w:rPr>
                <w:rFonts w:hint="eastAsia"/>
                <w:sz w:val="18"/>
                <w:szCs w:val="18"/>
                <w:vertAlign w:val="baseline"/>
                <w:lang w:eastAsia="zh-CN"/>
              </w:rPr>
              <w:t>无</w:t>
            </w:r>
          </w:p>
        </w:tc>
        <w:tc>
          <w:tcPr>
            <w:tcW w:w="2220" w:type="dxa"/>
            <w:tcBorders>
              <w:tl2br w:val="nil"/>
              <w:tr2bl w:val="nil"/>
            </w:tcBorders>
            <w:vAlign w:val="center"/>
          </w:tcPr>
          <w:p>
            <w:pPr>
              <w:spacing w:line="350" w:lineRule="exact"/>
              <w:jc w:val="center"/>
              <w:rPr>
                <w:rFonts w:hint="eastAsia" w:eastAsia="宋体"/>
                <w:sz w:val="18"/>
                <w:szCs w:val="18"/>
                <w:vertAlign w:val="baseline"/>
                <w:lang w:eastAsia="zh-CN"/>
              </w:rPr>
            </w:pPr>
            <w:r>
              <w:rPr>
                <w:rFonts w:hint="eastAsia"/>
                <w:sz w:val="18"/>
                <w:szCs w:val="18"/>
                <w:vertAlign w:val="baseline"/>
                <w:lang w:eastAsia="zh-CN"/>
              </w:rPr>
              <w:t>单层防水卷材屋面工程项目中，常用的施工方式为机械固定法，涉及手持焊枪、爬行焊机、电磁焊接设备以及配套的机具等，在本标准中予以明确，以提高施工质量，保证施工效果。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tcBorders>
              <w:tl2br w:val="nil"/>
              <w:tr2bl w:val="nil"/>
            </w:tcBorders>
            <w:vAlign w:val="center"/>
          </w:tcPr>
          <w:p>
            <w:pPr>
              <w:spacing w:line="350" w:lineRule="exact"/>
              <w:jc w:val="center"/>
              <w:rPr>
                <w:rFonts w:hint="eastAsia" w:eastAsia="宋体"/>
                <w:sz w:val="18"/>
                <w:szCs w:val="18"/>
                <w:vertAlign w:val="baseline"/>
                <w:lang w:val="en-US" w:eastAsia="zh-CN"/>
              </w:rPr>
            </w:pPr>
            <w:r>
              <w:rPr>
                <w:rFonts w:hint="eastAsia"/>
                <w:sz w:val="18"/>
                <w:szCs w:val="18"/>
                <w:vertAlign w:val="baseline"/>
                <w:lang w:val="en-US" w:eastAsia="zh-CN"/>
              </w:rPr>
              <w:t>5</w:t>
            </w:r>
          </w:p>
        </w:tc>
        <w:tc>
          <w:tcPr>
            <w:tcW w:w="1413" w:type="dxa"/>
            <w:tcBorders>
              <w:tl2br w:val="nil"/>
              <w:tr2bl w:val="nil"/>
            </w:tcBorders>
            <w:vAlign w:val="center"/>
          </w:tcPr>
          <w:p>
            <w:pPr>
              <w:spacing w:line="350" w:lineRule="exact"/>
              <w:jc w:val="center"/>
              <w:rPr>
                <w:rFonts w:hint="eastAsia"/>
                <w:sz w:val="18"/>
                <w:szCs w:val="18"/>
                <w:vertAlign w:val="baseline"/>
                <w:lang w:val="en-US" w:eastAsia="zh-CN"/>
              </w:rPr>
            </w:pPr>
            <w:r>
              <w:rPr>
                <w:rFonts w:hint="eastAsia"/>
                <w:sz w:val="18"/>
                <w:szCs w:val="18"/>
                <w:vertAlign w:val="baseline"/>
                <w:lang w:val="en-US" w:eastAsia="zh-CN"/>
              </w:rPr>
              <w:t>4.2</w:t>
            </w:r>
          </w:p>
          <w:p>
            <w:pPr>
              <w:spacing w:line="350" w:lineRule="exact"/>
              <w:jc w:val="center"/>
              <w:rPr>
                <w:rFonts w:hint="eastAsia"/>
                <w:sz w:val="18"/>
                <w:szCs w:val="18"/>
                <w:vertAlign w:val="baseline"/>
                <w:lang w:val="en-US" w:eastAsia="zh-CN"/>
              </w:rPr>
            </w:pPr>
            <w:r>
              <w:rPr>
                <w:rFonts w:hint="eastAsia"/>
                <w:sz w:val="18"/>
                <w:szCs w:val="18"/>
                <w:vertAlign w:val="baseline"/>
                <w:lang w:val="en-US" w:eastAsia="zh-CN"/>
              </w:rPr>
              <w:t>有穿孔机械固定</w:t>
            </w:r>
          </w:p>
          <w:p>
            <w:pPr>
              <w:spacing w:line="350" w:lineRule="exact"/>
              <w:jc w:val="center"/>
              <w:rPr>
                <w:rFonts w:hint="eastAsia"/>
                <w:sz w:val="18"/>
                <w:szCs w:val="18"/>
                <w:vertAlign w:val="baseline"/>
                <w:lang w:val="en-US" w:eastAsia="zh-CN"/>
              </w:rPr>
            </w:pPr>
            <w:r>
              <w:rPr>
                <w:rFonts w:hint="eastAsia"/>
                <w:sz w:val="18"/>
                <w:szCs w:val="18"/>
                <w:vertAlign w:val="baseline"/>
                <w:lang w:val="en-US" w:eastAsia="zh-CN"/>
              </w:rPr>
              <w:t>4.3</w:t>
            </w:r>
          </w:p>
          <w:p>
            <w:pPr>
              <w:spacing w:line="350" w:lineRule="exact"/>
              <w:jc w:val="center"/>
              <w:rPr>
                <w:rFonts w:hint="default"/>
                <w:sz w:val="18"/>
                <w:szCs w:val="18"/>
                <w:vertAlign w:val="baseline"/>
                <w:lang w:val="en-US" w:eastAsia="zh-CN"/>
              </w:rPr>
            </w:pPr>
            <w:r>
              <w:rPr>
                <w:rFonts w:hint="eastAsia"/>
                <w:sz w:val="18"/>
                <w:szCs w:val="18"/>
                <w:vertAlign w:val="baseline"/>
                <w:lang w:val="en-US" w:eastAsia="zh-CN"/>
              </w:rPr>
              <w:t>无穿孔机械固定</w:t>
            </w:r>
          </w:p>
        </w:tc>
        <w:tc>
          <w:tcPr>
            <w:tcW w:w="1622" w:type="dxa"/>
            <w:tcBorders>
              <w:tl2br w:val="nil"/>
              <w:tr2bl w:val="nil"/>
            </w:tcBorders>
            <w:vAlign w:val="center"/>
          </w:tcPr>
          <w:p>
            <w:pPr>
              <w:spacing w:line="350" w:lineRule="exact"/>
              <w:jc w:val="center"/>
              <w:rPr>
                <w:rFonts w:hint="eastAsia" w:eastAsia="宋体"/>
                <w:sz w:val="18"/>
                <w:szCs w:val="18"/>
                <w:vertAlign w:val="baseline"/>
                <w:lang w:eastAsia="zh-CN"/>
              </w:rPr>
            </w:pPr>
            <w:r>
              <w:rPr>
                <w:rFonts w:hint="eastAsia"/>
                <w:sz w:val="18"/>
                <w:szCs w:val="18"/>
                <w:vertAlign w:val="baseline"/>
                <w:lang w:eastAsia="zh-CN"/>
              </w:rPr>
              <w:t>无</w:t>
            </w:r>
          </w:p>
        </w:tc>
        <w:tc>
          <w:tcPr>
            <w:tcW w:w="1637" w:type="dxa"/>
            <w:tcBorders>
              <w:tl2br w:val="nil"/>
              <w:tr2bl w:val="nil"/>
            </w:tcBorders>
            <w:vAlign w:val="center"/>
          </w:tcPr>
          <w:p>
            <w:pPr>
              <w:spacing w:line="350" w:lineRule="exact"/>
              <w:jc w:val="center"/>
              <w:rPr>
                <w:rFonts w:hint="eastAsia"/>
                <w:sz w:val="18"/>
                <w:szCs w:val="18"/>
                <w:vertAlign w:val="baseline"/>
              </w:rPr>
            </w:pPr>
            <w:r>
              <w:rPr>
                <w:rFonts w:hint="eastAsia"/>
                <w:sz w:val="18"/>
                <w:szCs w:val="18"/>
                <w:vertAlign w:val="baseline"/>
                <w:lang w:eastAsia="zh-CN"/>
              </w:rPr>
              <w:t>无</w:t>
            </w:r>
          </w:p>
        </w:tc>
        <w:tc>
          <w:tcPr>
            <w:tcW w:w="1895" w:type="dxa"/>
            <w:tcBorders>
              <w:tl2br w:val="nil"/>
              <w:tr2bl w:val="nil"/>
            </w:tcBorders>
            <w:vAlign w:val="center"/>
          </w:tcPr>
          <w:p>
            <w:pPr>
              <w:spacing w:line="350" w:lineRule="exact"/>
              <w:jc w:val="center"/>
              <w:rPr>
                <w:rFonts w:hint="eastAsia"/>
                <w:sz w:val="18"/>
                <w:szCs w:val="18"/>
                <w:vertAlign w:val="baseline"/>
              </w:rPr>
            </w:pPr>
            <w:r>
              <w:rPr>
                <w:rFonts w:hint="eastAsia"/>
                <w:sz w:val="18"/>
                <w:szCs w:val="18"/>
                <w:vertAlign w:val="baseline"/>
                <w:lang w:eastAsia="zh-CN"/>
              </w:rPr>
              <w:t>无</w:t>
            </w:r>
          </w:p>
        </w:tc>
        <w:tc>
          <w:tcPr>
            <w:tcW w:w="2220" w:type="dxa"/>
            <w:tcBorders>
              <w:tl2br w:val="nil"/>
              <w:tr2bl w:val="nil"/>
            </w:tcBorders>
            <w:vAlign w:val="center"/>
          </w:tcPr>
          <w:p>
            <w:pPr>
              <w:spacing w:line="350" w:lineRule="exact"/>
              <w:jc w:val="center"/>
              <w:rPr>
                <w:rFonts w:hint="eastAsia" w:eastAsia="宋体"/>
                <w:sz w:val="18"/>
                <w:szCs w:val="18"/>
                <w:vertAlign w:val="baseline"/>
                <w:lang w:eastAsia="zh-CN"/>
              </w:rPr>
            </w:pPr>
            <w:r>
              <w:rPr>
                <w:rFonts w:hint="eastAsia"/>
                <w:sz w:val="18"/>
                <w:szCs w:val="18"/>
                <w:vertAlign w:val="baseline"/>
                <w:lang w:eastAsia="zh-CN"/>
              </w:rPr>
              <w:t>在常见的单层防水卷材屋面机械固定法施工中，一般采用两种施工方式，一种是有穿孔机械固定法，一种是无穿孔机械固定法，通过是否穿透防水层进行区隔，与之配套的固定件、施工机具等有一定区别，在此详细做出相关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1" w:hRule="atLeast"/>
          <w:jc w:val="center"/>
        </w:trPr>
        <w:tc>
          <w:tcPr>
            <w:tcW w:w="645" w:type="dxa"/>
            <w:tcBorders>
              <w:tl2br w:val="nil"/>
              <w:tr2bl w:val="nil"/>
            </w:tcBorders>
            <w:vAlign w:val="center"/>
          </w:tcPr>
          <w:p>
            <w:pPr>
              <w:spacing w:line="350" w:lineRule="exact"/>
              <w:jc w:val="center"/>
              <w:rPr>
                <w:rFonts w:hint="eastAsia" w:eastAsia="宋体"/>
                <w:sz w:val="18"/>
                <w:szCs w:val="18"/>
                <w:vertAlign w:val="baseline"/>
                <w:lang w:val="en-US" w:eastAsia="zh-CN"/>
              </w:rPr>
            </w:pPr>
            <w:r>
              <w:rPr>
                <w:rFonts w:hint="eastAsia"/>
                <w:sz w:val="18"/>
                <w:szCs w:val="18"/>
                <w:vertAlign w:val="baseline"/>
                <w:lang w:val="en-US" w:eastAsia="zh-CN"/>
              </w:rPr>
              <w:t>6</w:t>
            </w:r>
          </w:p>
        </w:tc>
        <w:tc>
          <w:tcPr>
            <w:tcW w:w="1413" w:type="dxa"/>
            <w:tcBorders>
              <w:tl2br w:val="nil"/>
              <w:tr2bl w:val="nil"/>
            </w:tcBorders>
            <w:vAlign w:val="center"/>
          </w:tcPr>
          <w:p>
            <w:pPr>
              <w:spacing w:line="350" w:lineRule="exact"/>
              <w:jc w:val="center"/>
              <w:rPr>
                <w:rFonts w:hint="eastAsia"/>
                <w:b w:val="0"/>
                <w:sz w:val="18"/>
                <w:szCs w:val="18"/>
              </w:rPr>
            </w:pPr>
            <w:r>
              <w:rPr>
                <w:rFonts w:hint="eastAsia"/>
                <w:b w:val="0"/>
                <w:sz w:val="18"/>
                <w:szCs w:val="18"/>
              </w:rPr>
              <w:t>5.3.2</w:t>
            </w:r>
          </w:p>
          <w:p>
            <w:pPr>
              <w:spacing w:line="350" w:lineRule="exact"/>
              <w:jc w:val="center"/>
              <w:rPr>
                <w:rFonts w:hint="eastAsia"/>
                <w:sz w:val="18"/>
                <w:szCs w:val="18"/>
                <w:vertAlign w:val="baseline"/>
              </w:rPr>
            </w:pPr>
            <w:r>
              <w:rPr>
                <w:rFonts w:hint="eastAsia"/>
                <w:sz w:val="18"/>
                <w:szCs w:val="18"/>
              </w:rPr>
              <w:t>条粘高分子防水卷材宜采用双组份聚氨酯发泡胶，防水卷材与基层之间的剥离强度不应低于60N/50mm</w:t>
            </w:r>
          </w:p>
        </w:tc>
        <w:tc>
          <w:tcPr>
            <w:tcW w:w="1622" w:type="dxa"/>
            <w:tcBorders>
              <w:tl2br w:val="nil"/>
              <w:tr2bl w:val="nil"/>
            </w:tcBorders>
            <w:vAlign w:val="center"/>
          </w:tcPr>
          <w:p>
            <w:pPr>
              <w:spacing w:line="350" w:lineRule="exact"/>
              <w:jc w:val="center"/>
              <w:rPr>
                <w:rFonts w:hint="eastAsia"/>
                <w:sz w:val="18"/>
                <w:szCs w:val="18"/>
                <w:vertAlign w:val="baseline"/>
              </w:rPr>
            </w:pPr>
            <w:r>
              <w:rPr>
                <w:rFonts w:hint="eastAsia"/>
                <w:sz w:val="18"/>
                <w:szCs w:val="18"/>
                <w:vertAlign w:val="baseline"/>
                <w:lang w:eastAsia="zh-CN"/>
              </w:rPr>
              <w:t>无</w:t>
            </w:r>
          </w:p>
        </w:tc>
        <w:tc>
          <w:tcPr>
            <w:tcW w:w="1637" w:type="dxa"/>
            <w:tcBorders>
              <w:tl2br w:val="nil"/>
              <w:tr2bl w:val="nil"/>
            </w:tcBorders>
            <w:vAlign w:val="center"/>
          </w:tcPr>
          <w:p>
            <w:pPr>
              <w:spacing w:line="350" w:lineRule="exact"/>
              <w:jc w:val="center"/>
              <w:rPr>
                <w:rFonts w:hint="eastAsia"/>
                <w:sz w:val="18"/>
                <w:szCs w:val="18"/>
                <w:vertAlign w:val="baseline"/>
              </w:rPr>
            </w:pPr>
            <w:r>
              <w:rPr>
                <w:rFonts w:hint="eastAsia"/>
                <w:sz w:val="18"/>
                <w:szCs w:val="18"/>
                <w:vertAlign w:val="baseline"/>
                <w:lang w:eastAsia="zh-CN"/>
              </w:rPr>
              <w:t>无</w:t>
            </w:r>
          </w:p>
        </w:tc>
        <w:tc>
          <w:tcPr>
            <w:tcW w:w="1895" w:type="dxa"/>
            <w:tcBorders>
              <w:tl2br w:val="nil"/>
              <w:tr2bl w:val="nil"/>
            </w:tcBorders>
            <w:vAlign w:val="center"/>
          </w:tcPr>
          <w:p>
            <w:pPr>
              <w:spacing w:line="350" w:lineRule="exact"/>
              <w:jc w:val="center"/>
              <w:rPr>
                <w:rFonts w:hint="eastAsia"/>
                <w:sz w:val="18"/>
                <w:szCs w:val="18"/>
                <w:vertAlign w:val="baseline"/>
              </w:rPr>
            </w:pPr>
            <w:r>
              <w:rPr>
                <w:rFonts w:hint="eastAsia"/>
                <w:sz w:val="18"/>
                <w:szCs w:val="18"/>
                <w:vertAlign w:val="baseline"/>
                <w:lang w:eastAsia="zh-CN"/>
              </w:rPr>
              <w:t>无</w:t>
            </w:r>
          </w:p>
        </w:tc>
        <w:tc>
          <w:tcPr>
            <w:tcW w:w="2220" w:type="dxa"/>
            <w:tcBorders>
              <w:tl2br w:val="nil"/>
              <w:tr2bl w:val="nil"/>
            </w:tcBorders>
            <w:vAlign w:val="center"/>
          </w:tcPr>
          <w:p>
            <w:pPr>
              <w:spacing w:line="350" w:lineRule="exact"/>
              <w:jc w:val="center"/>
              <w:rPr>
                <w:rFonts w:hint="eastAsia" w:eastAsia="宋体"/>
                <w:sz w:val="18"/>
                <w:szCs w:val="18"/>
                <w:vertAlign w:val="baseline"/>
                <w:lang w:eastAsia="zh-CN"/>
              </w:rPr>
            </w:pPr>
            <w:r>
              <w:rPr>
                <w:rFonts w:hint="eastAsia" w:ascii="宋体" w:hAnsi="宋体"/>
                <w:sz w:val="18"/>
                <w:szCs w:val="18"/>
              </w:rPr>
              <w:t>条粘单层防水卷材的施工案例国内并不多见，一般参考欧美施工做法，采用双组份微发泡聚氨酯胶粘剂，近在基层施胶，双组份胶粘剂混合后发泡，待混合后的胶粘剂不再有明显的发泡，手指轻触，胶粘剂不再粘附在手指上，即可铺贴防水卷材</w:t>
            </w:r>
            <w:r>
              <w:rPr>
                <w:rFonts w:hint="eastAsia" w:ascii="宋体" w:hAnsi="宋体"/>
                <w:sz w:val="18"/>
                <w:szCs w:val="18"/>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tcBorders>
              <w:tl2br w:val="nil"/>
              <w:tr2bl w:val="nil"/>
            </w:tcBorders>
            <w:vAlign w:val="center"/>
          </w:tcPr>
          <w:p>
            <w:pPr>
              <w:spacing w:line="350" w:lineRule="exact"/>
              <w:jc w:val="center"/>
              <w:rPr>
                <w:rFonts w:hint="default"/>
                <w:sz w:val="18"/>
                <w:szCs w:val="18"/>
                <w:vertAlign w:val="baseline"/>
                <w:lang w:val="en-US" w:eastAsia="zh-CN"/>
              </w:rPr>
            </w:pPr>
            <w:r>
              <w:rPr>
                <w:rFonts w:hint="eastAsia"/>
                <w:sz w:val="18"/>
                <w:szCs w:val="18"/>
                <w:vertAlign w:val="baseline"/>
                <w:lang w:val="en-US" w:eastAsia="zh-CN"/>
              </w:rPr>
              <w:t>7</w:t>
            </w:r>
          </w:p>
        </w:tc>
        <w:tc>
          <w:tcPr>
            <w:tcW w:w="1413" w:type="dxa"/>
            <w:tcBorders>
              <w:tl2br w:val="nil"/>
              <w:tr2bl w:val="nil"/>
            </w:tcBorders>
            <w:vAlign w:val="center"/>
          </w:tcPr>
          <w:p>
            <w:pPr>
              <w:spacing w:line="350" w:lineRule="exact"/>
              <w:jc w:val="center"/>
              <w:rPr>
                <w:rFonts w:hint="eastAsia"/>
                <w:sz w:val="18"/>
                <w:szCs w:val="18"/>
                <w:lang w:val="en-US" w:eastAsia="zh-CN"/>
              </w:rPr>
            </w:pPr>
            <w:r>
              <w:rPr>
                <w:rFonts w:hint="eastAsia"/>
                <w:sz w:val="18"/>
                <w:szCs w:val="18"/>
                <w:lang w:val="en-US" w:eastAsia="zh-CN"/>
              </w:rPr>
              <w:t>6.2.1</w:t>
            </w:r>
          </w:p>
          <w:p>
            <w:pPr>
              <w:spacing w:line="350" w:lineRule="exact"/>
              <w:jc w:val="center"/>
              <w:rPr>
                <w:rFonts w:hint="eastAsia"/>
                <w:sz w:val="18"/>
                <w:szCs w:val="18"/>
                <w:vertAlign w:val="baseline"/>
              </w:rPr>
            </w:pPr>
            <w:r>
              <w:rPr>
                <w:rFonts w:hint="eastAsia"/>
                <w:sz w:val="18"/>
                <w:szCs w:val="18"/>
              </w:rPr>
              <w:t>压铺材料</w:t>
            </w:r>
            <w:r>
              <w:rPr>
                <w:sz w:val="18"/>
                <w:szCs w:val="18"/>
              </w:rPr>
              <w:t>可采用卵石</w:t>
            </w:r>
            <w:r>
              <w:rPr>
                <w:rFonts w:hint="eastAsia"/>
                <w:sz w:val="18"/>
                <w:szCs w:val="18"/>
              </w:rPr>
              <w:t>，</w:t>
            </w:r>
            <w:r>
              <w:rPr>
                <w:sz w:val="18"/>
                <w:szCs w:val="18"/>
              </w:rPr>
              <w:t>块体材料</w:t>
            </w:r>
            <w:r>
              <w:rPr>
                <w:rFonts w:hint="eastAsia"/>
                <w:sz w:val="18"/>
                <w:szCs w:val="18"/>
              </w:rPr>
              <w:t>，容器种植等，不得采用碎石作为压铺材料</w:t>
            </w:r>
          </w:p>
        </w:tc>
        <w:tc>
          <w:tcPr>
            <w:tcW w:w="1622" w:type="dxa"/>
            <w:tcBorders>
              <w:tl2br w:val="nil"/>
              <w:tr2bl w:val="nil"/>
            </w:tcBorders>
            <w:vAlign w:val="center"/>
          </w:tcPr>
          <w:p>
            <w:pPr>
              <w:spacing w:line="350" w:lineRule="exact"/>
              <w:jc w:val="center"/>
              <w:rPr>
                <w:rFonts w:hint="eastAsia" w:eastAsia="宋体"/>
                <w:sz w:val="18"/>
                <w:szCs w:val="18"/>
                <w:vertAlign w:val="baseline"/>
                <w:lang w:eastAsia="zh-CN"/>
              </w:rPr>
            </w:pPr>
            <w:r>
              <w:rPr>
                <w:rFonts w:hint="eastAsia"/>
                <w:sz w:val="18"/>
                <w:szCs w:val="18"/>
                <w:vertAlign w:val="baseline"/>
                <w:lang w:eastAsia="zh-CN"/>
              </w:rPr>
              <w:t>无</w:t>
            </w:r>
          </w:p>
        </w:tc>
        <w:tc>
          <w:tcPr>
            <w:tcW w:w="1637" w:type="dxa"/>
            <w:tcBorders>
              <w:tl2br w:val="nil"/>
              <w:tr2bl w:val="nil"/>
            </w:tcBorders>
            <w:vAlign w:val="center"/>
          </w:tcPr>
          <w:p>
            <w:pPr>
              <w:spacing w:line="350" w:lineRule="exact"/>
              <w:jc w:val="center"/>
              <w:rPr>
                <w:rFonts w:hint="eastAsia"/>
                <w:sz w:val="18"/>
                <w:szCs w:val="18"/>
                <w:vertAlign w:val="baseline"/>
                <w:lang w:val="en-US" w:eastAsia="zh-CN"/>
              </w:rPr>
            </w:pPr>
            <w:r>
              <w:rPr>
                <w:rFonts w:hint="eastAsia"/>
                <w:sz w:val="18"/>
                <w:szCs w:val="18"/>
                <w:vertAlign w:val="baseline"/>
                <w:lang w:val="en-US" w:eastAsia="zh-CN"/>
              </w:rPr>
              <w:t>4.8.1</w:t>
            </w:r>
          </w:p>
          <w:p>
            <w:pPr>
              <w:spacing w:line="350" w:lineRule="exact"/>
              <w:jc w:val="center"/>
              <w:rPr>
                <w:rFonts w:hint="default"/>
                <w:sz w:val="18"/>
                <w:szCs w:val="18"/>
                <w:vertAlign w:val="baseline"/>
                <w:lang w:val="en-US" w:eastAsia="zh-CN"/>
              </w:rPr>
            </w:pPr>
            <w:r>
              <w:rPr>
                <w:rFonts w:hint="eastAsia"/>
                <w:sz w:val="18"/>
                <w:szCs w:val="18"/>
                <w:vertAlign w:val="baseline"/>
                <w:lang w:val="en-US" w:eastAsia="zh-CN"/>
              </w:rPr>
              <w:t>压铺材料可采用卵石或块体材料</w:t>
            </w:r>
          </w:p>
        </w:tc>
        <w:tc>
          <w:tcPr>
            <w:tcW w:w="1895" w:type="dxa"/>
            <w:tcBorders>
              <w:tl2br w:val="nil"/>
              <w:tr2bl w:val="nil"/>
            </w:tcBorders>
            <w:vAlign w:val="center"/>
          </w:tcPr>
          <w:p>
            <w:pPr>
              <w:spacing w:line="350" w:lineRule="exact"/>
              <w:jc w:val="center"/>
              <w:rPr>
                <w:rFonts w:hint="eastAsia" w:eastAsia="宋体"/>
                <w:sz w:val="18"/>
                <w:szCs w:val="18"/>
                <w:vertAlign w:val="baseline"/>
                <w:lang w:eastAsia="zh-CN"/>
              </w:rPr>
            </w:pPr>
            <w:r>
              <w:rPr>
                <w:rFonts w:hint="eastAsia"/>
                <w:sz w:val="18"/>
                <w:szCs w:val="18"/>
                <w:vertAlign w:val="baseline"/>
                <w:lang w:eastAsia="zh-CN"/>
              </w:rPr>
              <w:t>无</w:t>
            </w:r>
          </w:p>
        </w:tc>
        <w:tc>
          <w:tcPr>
            <w:tcW w:w="2220" w:type="dxa"/>
            <w:tcBorders>
              <w:tl2br w:val="nil"/>
              <w:tr2bl w:val="nil"/>
            </w:tcBorders>
            <w:vAlign w:val="center"/>
          </w:tcPr>
          <w:p>
            <w:pPr>
              <w:spacing w:line="350" w:lineRule="exact"/>
              <w:jc w:val="center"/>
              <w:rPr>
                <w:rFonts w:hint="default" w:eastAsia="宋体"/>
                <w:sz w:val="18"/>
                <w:szCs w:val="18"/>
                <w:vertAlign w:val="baseline"/>
                <w:lang w:val="en-US" w:eastAsia="zh-CN"/>
              </w:rPr>
            </w:pPr>
            <w:r>
              <w:rPr>
                <w:rFonts w:hint="eastAsia"/>
                <w:sz w:val="18"/>
                <w:szCs w:val="18"/>
                <w:vertAlign w:val="baseline"/>
                <w:lang w:val="en-US" w:eastAsia="zh-CN"/>
              </w:rPr>
              <w:t>在绿色低碳的政策指导下，既有建筑屋面或改造屋面设计中引入种植屋面，成为大趋势。在单层卷材屋面工程中，一般在压铺法施工工艺中使用，但非大面积式种植层次设计，载重无法满足，因此容器种植成为新选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tcBorders>
              <w:tl2br w:val="nil"/>
              <w:tr2bl w:val="nil"/>
            </w:tcBorders>
            <w:vAlign w:val="center"/>
          </w:tcPr>
          <w:p>
            <w:pPr>
              <w:spacing w:line="350" w:lineRule="exact"/>
              <w:jc w:val="center"/>
              <w:rPr>
                <w:rFonts w:hint="default"/>
                <w:sz w:val="18"/>
                <w:szCs w:val="18"/>
                <w:vertAlign w:val="baseline"/>
                <w:lang w:val="en-US" w:eastAsia="zh-CN"/>
              </w:rPr>
            </w:pPr>
            <w:r>
              <w:rPr>
                <w:rFonts w:hint="eastAsia"/>
                <w:sz w:val="18"/>
                <w:szCs w:val="18"/>
                <w:vertAlign w:val="baseline"/>
                <w:lang w:val="en-US" w:eastAsia="zh-CN"/>
              </w:rPr>
              <w:t>8</w:t>
            </w:r>
          </w:p>
        </w:tc>
        <w:tc>
          <w:tcPr>
            <w:tcW w:w="1413" w:type="dxa"/>
            <w:tcBorders>
              <w:tl2br w:val="nil"/>
              <w:tr2bl w:val="nil"/>
            </w:tcBorders>
            <w:vAlign w:val="center"/>
          </w:tcPr>
          <w:p>
            <w:pPr>
              <w:spacing w:line="350" w:lineRule="exact"/>
              <w:jc w:val="center"/>
              <w:rPr>
                <w:rFonts w:hint="eastAsia"/>
                <w:sz w:val="18"/>
                <w:szCs w:val="18"/>
                <w:vertAlign w:val="baseline"/>
                <w:lang w:val="en-US" w:eastAsia="zh-CN"/>
              </w:rPr>
            </w:pPr>
            <w:r>
              <w:rPr>
                <w:rFonts w:hint="eastAsia"/>
                <w:sz w:val="18"/>
                <w:szCs w:val="18"/>
                <w:vertAlign w:val="baseline"/>
                <w:lang w:val="en-US" w:eastAsia="zh-CN"/>
              </w:rPr>
              <w:t>7.0.9~7.0.11</w:t>
            </w:r>
          </w:p>
          <w:p>
            <w:pPr>
              <w:spacing w:line="350" w:lineRule="exact"/>
              <w:jc w:val="center"/>
              <w:rPr>
                <w:rFonts w:hint="eastAsia" w:eastAsia="宋体"/>
                <w:sz w:val="18"/>
                <w:szCs w:val="18"/>
                <w:vertAlign w:val="baseline"/>
                <w:lang w:val="en-US" w:eastAsia="zh-CN"/>
              </w:rPr>
            </w:pPr>
            <w:r>
              <w:rPr>
                <w:rFonts w:hint="eastAsia"/>
                <w:sz w:val="18"/>
                <w:szCs w:val="18"/>
              </w:rPr>
              <w:t>采用与屋面防水层同材质的防水卷材复合的光伏组件支座、装饰杆件支座</w:t>
            </w:r>
            <w:r>
              <w:rPr>
                <w:rFonts w:hint="eastAsia"/>
                <w:sz w:val="18"/>
                <w:szCs w:val="18"/>
                <w:lang w:eastAsia="zh-CN"/>
              </w:rPr>
              <w:t>、</w:t>
            </w:r>
            <w:r>
              <w:rPr>
                <w:rFonts w:hint="eastAsia"/>
                <w:sz w:val="18"/>
                <w:szCs w:val="18"/>
              </w:rPr>
              <w:t>安全锚</w:t>
            </w:r>
            <w:r>
              <w:rPr>
                <w:rFonts w:hint="eastAsia"/>
                <w:sz w:val="18"/>
                <w:szCs w:val="18"/>
                <w:lang w:eastAsia="zh-CN"/>
              </w:rPr>
              <w:t>、</w:t>
            </w:r>
            <w:r>
              <w:rPr>
                <w:rFonts w:hint="eastAsia"/>
                <w:sz w:val="18"/>
                <w:szCs w:val="18"/>
              </w:rPr>
              <w:t>预制穿线管</w:t>
            </w:r>
          </w:p>
        </w:tc>
        <w:tc>
          <w:tcPr>
            <w:tcW w:w="1622" w:type="dxa"/>
            <w:tcBorders>
              <w:tl2br w:val="nil"/>
              <w:tr2bl w:val="nil"/>
            </w:tcBorders>
            <w:vAlign w:val="center"/>
          </w:tcPr>
          <w:p>
            <w:pPr>
              <w:spacing w:line="350" w:lineRule="exact"/>
              <w:jc w:val="center"/>
              <w:rPr>
                <w:rFonts w:hint="eastAsia" w:eastAsia="宋体"/>
                <w:sz w:val="18"/>
                <w:szCs w:val="18"/>
                <w:vertAlign w:val="baseline"/>
                <w:lang w:eastAsia="zh-CN"/>
              </w:rPr>
            </w:pPr>
            <w:r>
              <w:rPr>
                <w:rFonts w:hint="eastAsia"/>
                <w:sz w:val="18"/>
                <w:szCs w:val="18"/>
                <w:vertAlign w:val="baseline"/>
                <w:lang w:eastAsia="zh-CN"/>
              </w:rPr>
              <w:t>无</w:t>
            </w:r>
          </w:p>
        </w:tc>
        <w:tc>
          <w:tcPr>
            <w:tcW w:w="1637" w:type="dxa"/>
            <w:tcBorders>
              <w:tl2br w:val="nil"/>
              <w:tr2bl w:val="nil"/>
            </w:tcBorders>
            <w:vAlign w:val="center"/>
          </w:tcPr>
          <w:p>
            <w:pPr>
              <w:spacing w:line="350" w:lineRule="exact"/>
              <w:jc w:val="center"/>
              <w:rPr>
                <w:rFonts w:hint="eastAsia" w:eastAsia="宋体"/>
                <w:sz w:val="18"/>
                <w:szCs w:val="18"/>
                <w:vertAlign w:val="baseline"/>
                <w:lang w:eastAsia="zh-CN"/>
              </w:rPr>
            </w:pPr>
            <w:r>
              <w:rPr>
                <w:rFonts w:hint="eastAsia"/>
                <w:sz w:val="18"/>
                <w:szCs w:val="18"/>
                <w:vertAlign w:val="baseline"/>
                <w:lang w:eastAsia="zh-CN"/>
              </w:rPr>
              <w:t>无</w:t>
            </w:r>
          </w:p>
        </w:tc>
        <w:tc>
          <w:tcPr>
            <w:tcW w:w="1895" w:type="dxa"/>
            <w:tcBorders>
              <w:tl2br w:val="nil"/>
              <w:tr2bl w:val="nil"/>
            </w:tcBorders>
            <w:vAlign w:val="center"/>
          </w:tcPr>
          <w:p>
            <w:pPr>
              <w:spacing w:line="350" w:lineRule="exact"/>
              <w:jc w:val="center"/>
              <w:rPr>
                <w:rFonts w:hint="eastAsia" w:eastAsia="宋体"/>
                <w:sz w:val="18"/>
                <w:szCs w:val="18"/>
                <w:vertAlign w:val="baseline"/>
                <w:lang w:eastAsia="zh-CN"/>
              </w:rPr>
            </w:pPr>
            <w:r>
              <w:rPr>
                <w:rFonts w:hint="eastAsia"/>
                <w:sz w:val="18"/>
                <w:szCs w:val="18"/>
                <w:vertAlign w:val="baseline"/>
                <w:lang w:eastAsia="zh-CN"/>
              </w:rPr>
              <w:t>无</w:t>
            </w:r>
          </w:p>
        </w:tc>
        <w:tc>
          <w:tcPr>
            <w:tcW w:w="2220" w:type="dxa"/>
            <w:tcBorders>
              <w:tl2br w:val="nil"/>
              <w:tr2bl w:val="nil"/>
            </w:tcBorders>
            <w:vAlign w:val="center"/>
          </w:tcPr>
          <w:p>
            <w:pPr>
              <w:spacing w:line="350" w:lineRule="exact"/>
              <w:jc w:val="center"/>
              <w:rPr>
                <w:rFonts w:hint="eastAsia" w:eastAsia="宋体"/>
                <w:sz w:val="18"/>
                <w:szCs w:val="18"/>
                <w:vertAlign w:val="baseline"/>
                <w:lang w:eastAsia="zh-CN"/>
              </w:rPr>
            </w:pPr>
            <w:r>
              <w:rPr>
                <w:rFonts w:hint="eastAsia"/>
                <w:sz w:val="18"/>
                <w:szCs w:val="18"/>
                <w:vertAlign w:val="baseline"/>
                <w:lang w:eastAsia="zh-CN"/>
              </w:rPr>
              <w:t>出屋面的预制件，属于细部构造节点处理，目前的机械固定法、粘接法施工，在细节处理上，施工操作难度较大。成品预制件，与防水层同材质，避免了不相容材料间的性能损失，也降低了节点操作的难度，提高了防水层的系统可靠性与整体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645" w:type="dxa"/>
            <w:tcBorders>
              <w:tl2br w:val="nil"/>
              <w:tr2bl w:val="nil"/>
            </w:tcBorders>
            <w:vAlign w:val="center"/>
          </w:tcPr>
          <w:p>
            <w:pPr>
              <w:spacing w:line="350" w:lineRule="exact"/>
              <w:jc w:val="center"/>
              <w:rPr>
                <w:rFonts w:hint="default"/>
                <w:sz w:val="18"/>
                <w:szCs w:val="18"/>
                <w:vertAlign w:val="baseline"/>
                <w:lang w:val="en-US" w:eastAsia="zh-CN"/>
              </w:rPr>
            </w:pPr>
            <w:r>
              <w:rPr>
                <w:rFonts w:hint="eastAsia"/>
                <w:sz w:val="18"/>
                <w:szCs w:val="18"/>
                <w:vertAlign w:val="baseline"/>
                <w:lang w:val="en-US" w:eastAsia="zh-CN"/>
              </w:rPr>
              <w:t>9</w:t>
            </w:r>
          </w:p>
        </w:tc>
        <w:tc>
          <w:tcPr>
            <w:tcW w:w="1413" w:type="dxa"/>
            <w:tcBorders>
              <w:tl2br w:val="nil"/>
              <w:tr2bl w:val="nil"/>
            </w:tcBorders>
            <w:vAlign w:val="center"/>
          </w:tcPr>
          <w:p>
            <w:pPr>
              <w:spacing w:line="350" w:lineRule="exact"/>
              <w:jc w:val="center"/>
              <w:rPr>
                <w:rFonts w:hint="eastAsia"/>
                <w:sz w:val="18"/>
                <w:szCs w:val="18"/>
                <w:vertAlign w:val="baseline"/>
                <w:lang w:val="en-US" w:eastAsia="zh-CN"/>
              </w:rPr>
            </w:pPr>
            <w:r>
              <w:rPr>
                <w:rFonts w:hint="eastAsia"/>
                <w:sz w:val="18"/>
                <w:szCs w:val="18"/>
                <w:vertAlign w:val="baseline"/>
                <w:lang w:val="en-US" w:eastAsia="zh-CN"/>
              </w:rPr>
              <w:t>8.2.3</w:t>
            </w:r>
          </w:p>
          <w:p>
            <w:pPr>
              <w:spacing w:line="350" w:lineRule="exact"/>
              <w:ind w:firstLine="0" w:firstLineChars="0"/>
              <w:jc w:val="center"/>
              <w:rPr>
                <w:rFonts w:hint="eastAsia"/>
                <w:sz w:val="18"/>
                <w:szCs w:val="18"/>
              </w:rPr>
            </w:pPr>
            <w:r>
              <w:rPr>
                <w:rFonts w:hint="eastAsia"/>
                <w:sz w:val="18"/>
                <w:szCs w:val="18"/>
              </w:rPr>
              <w:t>防水卷材屋面竣工后不应有渗漏或积水现象。检验方法：雨后或持续淋水2h，观察检查</w:t>
            </w:r>
          </w:p>
          <w:p>
            <w:pPr>
              <w:spacing w:line="350" w:lineRule="exact"/>
              <w:jc w:val="center"/>
              <w:rPr>
                <w:rFonts w:hint="default"/>
                <w:sz w:val="18"/>
                <w:szCs w:val="18"/>
                <w:vertAlign w:val="baseline"/>
                <w:lang w:val="en-US" w:eastAsia="zh-CN"/>
              </w:rPr>
            </w:pPr>
          </w:p>
        </w:tc>
        <w:tc>
          <w:tcPr>
            <w:tcW w:w="1622" w:type="dxa"/>
            <w:tcBorders>
              <w:tl2br w:val="nil"/>
              <w:tr2bl w:val="nil"/>
            </w:tcBorders>
            <w:vAlign w:val="center"/>
          </w:tcPr>
          <w:p>
            <w:pPr>
              <w:spacing w:line="350" w:lineRule="exact"/>
              <w:jc w:val="center"/>
              <w:rPr>
                <w:rFonts w:hint="eastAsia"/>
                <w:sz w:val="18"/>
                <w:szCs w:val="18"/>
                <w:vertAlign w:val="baseline"/>
                <w:lang w:val="en-US" w:eastAsia="zh-CN"/>
              </w:rPr>
            </w:pPr>
            <w:r>
              <w:rPr>
                <w:rFonts w:hint="eastAsia"/>
                <w:sz w:val="18"/>
                <w:szCs w:val="18"/>
                <w:vertAlign w:val="baseline"/>
                <w:lang w:val="en-US" w:eastAsia="zh-CN"/>
              </w:rPr>
              <w:t>10.5.7</w:t>
            </w:r>
          </w:p>
          <w:p>
            <w:pPr>
              <w:spacing w:line="350" w:lineRule="exact"/>
              <w:jc w:val="center"/>
              <w:rPr>
                <w:rFonts w:hint="default"/>
                <w:sz w:val="18"/>
                <w:szCs w:val="18"/>
                <w:vertAlign w:val="baseline"/>
                <w:lang w:val="en-US" w:eastAsia="zh-CN"/>
              </w:rPr>
            </w:pPr>
            <w:r>
              <w:rPr>
                <w:rFonts w:hint="eastAsia"/>
                <w:sz w:val="18"/>
                <w:szCs w:val="18"/>
                <w:vertAlign w:val="baseline"/>
                <w:lang w:val="en-US" w:eastAsia="zh-CN"/>
              </w:rPr>
              <w:t>防水卷材屋面竣工后不得渗漏。检验方法：雨后或进行2h淋水，观察检查</w:t>
            </w:r>
          </w:p>
        </w:tc>
        <w:tc>
          <w:tcPr>
            <w:tcW w:w="1637" w:type="dxa"/>
            <w:tcBorders>
              <w:tl2br w:val="nil"/>
              <w:tr2bl w:val="nil"/>
            </w:tcBorders>
            <w:vAlign w:val="center"/>
          </w:tcPr>
          <w:p>
            <w:pPr>
              <w:spacing w:line="350" w:lineRule="exact"/>
              <w:jc w:val="center"/>
              <w:rPr>
                <w:rFonts w:hint="eastAsia"/>
                <w:sz w:val="18"/>
                <w:szCs w:val="18"/>
                <w:vertAlign w:val="baseline"/>
                <w:lang w:val="en-US" w:eastAsia="zh-CN"/>
              </w:rPr>
            </w:pPr>
            <w:r>
              <w:rPr>
                <w:rFonts w:hint="eastAsia"/>
                <w:sz w:val="18"/>
                <w:szCs w:val="18"/>
                <w:vertAlign w:val="baseline"/>
                <w:lang w:val="en-US" w:eastAsia="zh-CN"/>
              </w:rPr>
              <w:t>7.4.3</w:t>
            </w:r>
          </w:p>
          <w:p>
            <w:pPr>
              <w:spacing w:line="350" w:lineRule="exact"/>
              <w:jc w:val="center"/>
              <w:rPr>
                <w:rFonts w:hint="default"/>
                <w:sz w:val="18"/>
                <w:szCs w:val="18"/>
                <w:vertAlign w:val="baseline"/>
                <w:lang w:val="en-US" w:eastAsia="zh-CN"/>
              </w:rPr>
            </w:pPr>
            <w:r>
              <w:rPr>
                <w:rFonts w:hint="eastAsia"/>
                <w:sz w:val="18"/>
                <w:szCs w:val="18"/>
                <w:vertAlign w:val="baseline"/>
                <w:lang w:val="en-US" w:eastAsia="zh-CN"/>
              </w:rPr>
              <w:t>防水卷材屋面竣工后不应有渗漏或积水现象。检验方法：雨后或进行2h淋水、蓄水24h，观察检查</w:t>
            </w:r>
          </w:p>
        </w:tc>
        <w:tc>
          <w:tcPr>
            <w:tcW w:w="1895" w:type="dxa"/>
            <w:tcBorders>
              <w:tl2br w:val="nil"/>
              <w:tr2bl w:val="nil"/>
            </w:tcBorders>
            <w:vAlign w:val="center"/>
          </w:tcPr>
          <w:p>
            <w:pPr>
              <w:spacing w:line="350" w:lineRule="exact"/>
              <w:jc w:val="center"/>
              <w:rPr>
                <w:rFonts w:hint="eastAsia"/>
                <w:sz w:val="18"/>
                <w:szCs w:val="18"/>
                <w:vertAlign w:val="baseline"/>
                <w:lang w:val="en-US" w:eastAsia="zh-CN"/>
              </w:rPr>
            </w:pPr>
            <w:r>
              <w:rPr>
                <w:rFonts w:hint="eastAsia"/>
                <w:sz w:val="18"/>
                <w:szCs w:val="18"/>
                <w:vertAlign w:val="baseline"/>
                <w:lang w:val="en-US" w:eastAsia="zh-CN"/>
              </w:rPr>
              <w:t>8.12.2</w:t>
            </w:r>
          </w:p>
          <w:p>
            <w:pPr>
              <w:spacing w:line="350" w:lineRule="exact"/>
              <w:jc w:val="center"/>
              <w:rPr>
                <w:rFonts w:hint="default"/>
                <w:sz w:val="18"/>
                <w:szCs w:val="18"/>
                <w:vertAlign w:val="baseline"/>
                <w:lang w:val="en-US" w:eastAsia="zh-CN"/>
              </w:rPr>
            </w:pPr>
            <w:r>
              <w:rPr>
                <w:rFonts w:hint="eastAsia"/>
                <w:sz w:val="18"/>
                <w:szCs w:val="18"/>
                <w:vertAlign w:val="baseline"/>
                <w:lang w:val="en-US" w:eastAsia="zh-CN"/>
              </w:rPr>
              <w:t>连接节点部位、屋（墙、底）面搭接部位应密封完整、连续，防水可靠。检验数量：全数检查。检验方法：观察检查和雨后或淋水检验</w:t>
            </w:r>
          </w:p>
        </w:tc>
        <w:tc>
          <w:tcPr>
            <w:tcW w:w="2220" w:type="dxa"/>
            <w:tcBorders>
              <w:tl2br w:val="nil"/>
              <w:tr2bl w:val="nil"/>
            </w:tcBorders>
            <w:vAlign w:val="center"/>
          </w:tcPr>
          <w:p>
            <w:pPr>
              <w:spacing w:line="350" w:lineRule="exact"/>
              <w:jc w:val="center"/>
              <w:rPr>
                <w:rFonts w:hint="default" w:eastAsia="宋体"/>
                <w:sz w:val="18"/>
                <w:szCs w:val="18"/>
                <w:vertAlign w:val="baseline"/>
                <w:lang w:val="en-US" w:eastAsia="zh-CN"/>
              </w:rPr>
            </w:pPr>
            <w:r>
              <w:rPr>
                <w:rFonts w:hint="eastAsia"/>
                <w:sz w:val="18"/>
                <w:szCs w:val="18"/>
                <w:vertAlign w:val="baseline"/>
                <w:lang w:eastAsia="zh-CN"/>
              </w:rPr>
              <w:t>在单层防水卷材屋面的项目应用中，</w:t>
            </w:r>
            <w:r>
              <w:rPr>
                <w:rFonts w:hint="eastAsia"/>
                <w:sz w:val="18"/>
                <w:szCs w:val="18"/>
                <w:vertAlign w:val="baseline"/>
                <w:lang w:val="en-US" w:eastAsia="zh-CN"/>
              </w:rPr>
              <w:t>9成以上的基层为金属板，常见的机场、航站楼、体育场馆等，该类型建筑为坡度设计，无法进行蓄水检验是否漏水。</w:t>
            </w:r>
          </w:p>
        </w:tc>
      </w:tr>
    </w:tbl>
    <w:p>
      <w:pPr>
        <w:pStyle w:val="38"/>
        <w:spacing w:before="156" w:after="156" w:line="276" w:lineRule="auto"/>
      </w:pPr>
      <w:bookmarkStart w:id="29" w:name="_Toc16703"/>
      <w:bookmarkStart w:id="30" w:name="_Toc14842"/>
      <w:bookmarkStart w:id="31" w:name="_Toc15116"/>
      <w:r>
        <w:rPr>
          <w:rFonts w:hint="eastAsia"/>
          <w:lang w:eastAsia="zh-CN"/>
        </w:rPr>
        <w:t>六</w:t>
      </w:r>
      <w:r>
        <w:rPr>
          <w:rFonts w:hint="eastAsia"/>
        </w:rPr>
        <w:t>、与现行法规等的协调性</w:t>
      </w:r>
      <w:bookmarkEnd w:id="29"/>
      <w:bookmarkEnd w:id="30"/>
      <w:bookmarkEnd w:id="31"/>
    </w:p>
    <w:p>
      <w:pPr>
        <w:spacing w:line="360" w:lineRule="auto"/>
        <w:ind w:firstLine="431" w:firstLineChars="196"/>
        <w:rPr>
          <w:rFonts w:hint="eastAsia"/>
          <w:sz w:val="22"/>
          <w:szCs w:val="22"/>
          <w:highlight w:val="none"/>
          <w:lang w:val="en-US" w:eastAsia="zh-CN"/>
        </w:rPr>
      </w:pPr>
      <w:r>
        <w:rPr>
          <w:rFonts w:hint="eastAsia"/>
          <w:sz w:val="22"/>
          <w:szCs w:val="22"/>
          <w:highlight w:val="none"/>
          <w:lang w:eastAsia="zh-CN"/>
        </w:rPr>
        <w:t>本标准与住建部《单层防水卷材屋面工程技术规程》</w:t>
      </w:r>
      <w:r>
        <w:rPr>
          <w:rFonts w:hint="eastAsia"/>
          <w:sz w:val="22"/>
          <w:szCs w:val="22"/>
          <w:highlight w:val="none"/>
          <w:lang w:val="en-US" w:eastAsia="zh-CN"/>
        </w:rPr>
        <w:t>JGJ/T 316均属于行业标准，本标准为制订，</w:t>
      </w:r>
      <w:r>
        <w:rPr>
          <w:rFonts w:hint="eastAsia"/>
          <w:sz w:val="22"/>
          <w:szCs w:val="22"/>
          <w:highlight w:val="none"/>
          <w:lang w:eastAsia="zh-CN"/>
        </w:rPr>
        <w:t>住建部《单层防水卷材屋面工程技术规程》</w:t>
      </w:r>
      <w:r>
        <w:rPr>
          <w:rFonts w:hint="eastAsia"/>
          <w:sz w:val="22"/>
          <w:szCs w:val="22"/>
          <w:highlight w:val="none"/>
          <w:lang w:val="en-US" w:eastAsia="zh-CN"/>
        </w:rPr>
        <w:t>JGJ/T 316为局部修订，均需要与即将发布的国家强制性标准《建筑与市政防水通用规范》的相关规定保持协调。</w:t>
      </w:r>
    </w:p>
    <w:p>
      <w:pPr>
        <w:spacing w:line="360" w:lineRule="auto"/>
        <w:ind w:firstLine="431" w:firstLineChars="196"/>
        <w:rPr>
          <w:rFonts w:hint="eastAsia"/>
          <w:sz w:val="22"/>
          <w:szCs w:val="22"/>
          <w:highlight w:val="none"/>
          <w:lang w:val="en-US" w:eastAsia="zh-CN"/>
        </w:rPr>
      </w:pPr>
      <w:r>
        <w:rPr>
          <w:rFonts w:hint="eastAsia"/>
          <w:sz w:val="22"/>
          <w:szCs w:val="22"/>
          <w:highlight w:val="none"/>
          <w:lang w:val="en-US" w:eastAsia="zh-CN"/>
        </w:rPr>
        <w:t>本标准与</w:t>
      </w:r>
      <w:r>
        <w:rPr>
          <w:rFonts w:hint="eastAsia"/>
          <w:sz w:val="22"/>
          <w:szCs w:val="22"/>
          <w:highlight w:val="none"/>
          <w:lang w:eastAsia="zh-CN"/>
        </w:rPr>
        <w:t>《单层防水卷材屋面工程技术规程》</w:t>
      </w:r>
      <w:r>
        <w:rPr>
          <w:rFonts w:hint="eastAsia"/>
          <w:sz w:val="22"/>
          <w:szCs w:val="22"/>
          <w:highlight w:val="none"/>
          <w:lang w:val="en-US" w:eastAsia="zh-CN"/>
        </w:rPr>
        <w:t>JGJ/T 316均为行业标准，为了避免在标准宣贯实施过程中造成不便，因此在制定时充分考虑JC标与JGJ标的差异性。</w:t>
      </w:r>
      <w:r>
        <w:rPr>
          <w:rFonts w:hint="eastAsia" w:ascii="宋体" w:hAnsi="宋体"/>
          <w:sz w:val="24"/>
          <w:highlight w:val="none"/>
        </w:rPr>
        <w:t>单层防水卷材屋面工程</w:t>
      </w:r>
      <w:r>
        <w:rPr>
          <w:rFonts w:hint="eastAsia" w:ascii="宋体" w:hAnsi="宋体"/>
          <w:sz w:val="24"/>
          <w:highlight w:val="none"/>
          <w:lang w:eastAsia="zh-CN"/>
        </w:rPr>
        <w:t>是</w:t>
      </w:r>
      <w:r>
        <w:rPr>
          <w:rFonts w:hint="eastAsia" w:ascii="宋体" w:hAnsi="宋体"/>
          <w:sz w:val="24"/>
          <w:highlight w:val="none"/>
        </w:rPr>
        <w:t>由隔汽、防水、排水、保温隔热、机械固定等多项技术</w:t>
      </w:r>
      <w:r>
        <w:rPr>
          <w:rFonts w:hint="eastAsia" w:ascii="宋体" w:hAnsi="宋体"/>
          <w:sz w:val="24"/>
          <w:highlight w:val="none"/>
          <w:lang w:eastAsia="zh-CN"/>
        </w:rPr>
        <w:t>组合</w:t>
      </w:r>
      <w:r>
        <w:rPr>
          <w:rFonts w:hint="eastAsia" w:ascii="宋体" w:hAnsi="宋体"/>
          <w:sz w:val="24"/>
          <w:highlight w:val="none"/>
        </w:rPr>
        <w:t>构成</w:t>
      </w:r>
      <w:r>
        <w:rPr>
          <w:rFonts w:hint="eastAsia" w:ascii="宋体" w:hAnsi="宋体"/>
          <w:sz w:val="24"/>
          <w:highlight w:val="none"/>
          <w:lang w:eastAsia="zh-CN"/>
        </w:rPr>
        <w:t>的系统工程，因此</w:t>
      </w:r>
      <w:r>
        <w:rPr>
          <w:rFonts w:hint="eastAsia"/>
          <w:sz w:val="22"/>
          <w:szCs w:val="22"/>
          <w:highlight w:val="none"/>
          <w:lang w:eastAsia="zh-CN"/>
        </w:rPr>
        <w:t>住建部《单层防水卷材屋面工程技术规程》</w:t>
      </w:r>
      <w:r>
        <w:rPr>
          <w:rFonts w:hint="eastAsia"/>
          <w:sz w:val="22"/>
          <w:szCs w:val="22"/>
          <w:highlight w:val="none"/>
          <w:lang w:val="en-US" w:eastAsia="zh-CN"/>
        </w:rPr>
        <w:t>JGJ/T 316以单层防水卷材屋面工程系统为主，从屋面系统构造层次设计、隔热绝热材料、防水材料、压铺材料以及配套用胶粘、覆盖、隔离等材料为分项，涉及一般规定、设计、施工以及验收等方面的内容。本标准综合考虑了建材行业规程标准的编制要求及逻辑，以单层卷材屋面工程用防水卷材为主，从防水层的技术要求、配套材料、配套机具、配套固定件、机械固定法施工、压铺法施工、粘接法施工以及验收等方面进行编制。</w:t>
      </w:r>
    </w:p>
    <w:p>
      <w:pPr>
        <w:spacing w:line="360" w:lineRule="auto"/>
        <w:ind w:firstLine="431" w:firstLineChars="196"/>
        <w:rPr>
          <w:rFonts w:hint="eastAsia"/>
          <w:sz w:val="22"/>
          <w:szCs w:val="22"/>
          <w:highlight w:val="none"/>
          <w:lang w:val="en-US" w:eastAsia="zh-CN"/>
        </w:rPr>
      </w:pPr>
      <w:r>
        <w:rPr>
          <w:rFonts w:hint="eastAsia"/>
          <w:sz w:val="22"/>
          <w:szCs w:val="22"/>
          <w:highlight w:val="none"/>
          <w:lang w:val="en-US" w:eastAsia="zh-CN"/>
        </w:rPr>
        <w:t>与本标准相关的其他现行标准、法律、法规等，均做协调处理，保证了条文的一致性与协调性。</w:t>
      </w:r>
    </w:p>
    <w:p>
      <w:pPr>
        <w:pStyle w:val="38"/>
        <w:spacing w:before="156" w:after="156" w:line="276" w:lineRule="auto"/>
      </w:pPr>
      <w:bookmarkStart w:id="32" w:name="_Toc28740"/>
      <w:bookmarkStart w:id="33" w:name="_Toc26420"/>
      <w:bookmarkStart w:id="34" w:name="_Toc25763"/>
      <w:r>
        <w:rPr>
          <w:rFonts w:hint="eastAsia"/>
          <w:lang w:eastAsia="zh-CN"/>
        </w:rPr>
        <w:t>七</w:t>
      </w:r>
      <w:r>
        <w:rPr>
          <w:rFonts w:hint="eastAsia"/>
        </w:rPr>
        <w:t>、重大分歧及处理和依据</w:t>
      </w:r>
      <w:bookmarkEnd w:id="32"/>
      <w:bookmarkEnd w:id="33"/>
      <w:bookmarkEnd w:id="34"/>
    </w:p>
    <w:p>
      <w:pPr>
        <w:spacing w:line="360" w:lineRule="auto"/>
        <w:ind w:firstLine="431" w:firstLineChars="196"/>
        <w:rPr>
          <w:sz w:val="22"/>
          <w:szCs w:val="22"/>
        </w:rPr>
      </w:pPr>
      <w:r>
        <w:rPr>
          <w:rFonts w:hint="eastAsia"/>
          <w:sz w:val="22"/>
          <w:szCs w:val="22"/>
        </w:rPr>
        <w:t>无。</w:t>
      </w:r>
    </w:p>
    <w:p>
      <w:pPr>
        <w:pStyle w:val="38"/>
        <w:spacing w:before="156" w:after="156" w:line="276" w:lineRule="auto"/>
      </w:pPr>
      <w:bookmarkStart w:id="35" w:name="_Toc2555"/>
      <w:bookmarkStart w:id="36" w:name="_Toc15844"/>
      <w:bookmarkStart w:id="37" w:name="_Toc10034"/>
      <w:r>
        <w:rPr>
          <w:rFonts w:hint="eastAsia"/>
          <w:lang w:eastAsia="zh-CN"/>
        </w:rPr>
        <w:t>八</w:t>
      </w:r>
      <w:r>
        <w:rPr>
          <w:rFonts w:hint="eastAsia"/>
        </w:rPr>
        <w:t>、标准性质的建议说明</w:t>
      </w:r>
      <w:bookmarkEnd w:id="35"/>
      <w:bookmarkEnd w:id="36"/>
      <w:bookmarkEnd w:id="37"/>
    </w:p>
    <w:p>
      <w:pPr>
        <w:spacing w:line="360" w:lineRule="auto"/>
        <w:ind w:firstLine="431" w:firstLineChars="196"/>
        <w:rPr>
          <w:sz w:val="22"/>
          <w:szCs w:val="22"/>
        </w:rPr>
      </w:pPr>
      <w:r>
        <w:rPr>
          <w:rFonts w:hint="eastAsia"/>
          <w:sz w:val="22"/>
          <w:szCs w:val="22"/>
        </w:rPr>
        <w:t>本标准的性质为推荐性。</w:t>
      </w:r>
    </w:p>
    <w:p>
      <w:pPr>
        <w:spacing w:line="276" w:lineRule="auto"/>
      </w:pPr>
    </w:p>
    <w:p/>
    <w:sectPr>
      <w:pgSz w:w="11906" w:h="16838"/>
      <w:pgMar w:top="1440" w:right="1803" w:bottom="1440" w:left="1803" w:header="737" w:footer="737" w:gutter="0"/>
      <w:pgBorders>
        <w:top w:val="none" w:sz="0" w:space="0"/>
        <w:left w:val="none" w:sz="0" w:space="0"/>
        <w:bottom w:val="none" w:sz="0" w:space="0"/>
        <w:right w:val="none" w:sz="0" w:space="0"/>
      </w:pgBorders>
      <w:pgNumType w:fmt="decimal"/>
      <w:cols w:space="0" w:num="1"/>
      <w:formProt w:val="0"/>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DFKai-SB">
    <w:altName w:val="Microsoft JhengHei Light"/>
    <w:panose1 w:val="03000509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Times New Roman"/>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Times New Roman"/>
        <w:sz w:val="21"/>
        <w:szCs w:val="21"/>
      </w:rPr>
    </w:pPr>
    <w:r>
      <w:rPr>
        <w:rFonts w:ascii="Times New Roman"/>
        <w:sz w:val="21"/>
        <w:szCs w:val="21"/>
      </w:rPr>
      <w:fldChar w:fldCharType="begin"/>
    </w:r>
    <w:r>
      <w:rPr>
        <w:rFonts w:ascii="Times New Roman"/>
        <w:sz w:val="21"/>
        <w:szCs w:val="21"/>
      </w:rPr>
      <w:instrText xml:space="preserve"> PAGE  \* MERGEFORMAT </w:instrText>
    </w:r>
    <w:r>
      <w:rPr>
        <w:rFonts w:ascii="Times New Roman"/>
        <w:sz w:val="21"/>
        <w:szCs w:val="21"/>
      </w:rPr>
      <w:fldChar w:fldCharType="separate"/>
    </w:r>
    <w:r>
      <w:rPr>
        <w:rFonts w:ascii="Times New Roman"/>
        <w:sz w:val="21"/>
        <w:szCs w:val="21"/>
      </w:rPr>
      <w:t>8</w:t>
    </w:r>
    <w:r>
      <w:rPr>
        <w:rFonts w:ascii="Times New Roman"/>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Times New Roman"/>
        <w:sz w:val="21"/>
        <w:szCs w:val="21"/>
      </w:rPr>
    </w:pPr>
    <w:r>
      <w:rPr>
        <w:sz w:val="21"/>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39"/>
                  <w:jc w:val="center"/>
                </w:pPr>
                <w:r>
                  <w:rPr>
                    <w:rFonts w:ascii="Times New Roman"/>
                    <w:sz w:val="21"/>
                    <w:szCs w:val="21"/>
                  </w:rPr>
                  <w:fldChar w:fldCharType="begin"/>
                </w:r>
                <w:r>
                  <w:rPr>
                    <w:rFonts w:ascii="Times New Roman"/>
                    <w:sz w:val="21"/>
                    <w:szCs w:val="21"/>
                  </w:rPr>
                  <w:instrText xml:space="preserve"> PAGE  \* MERGEFORMAT </w:instrText>
                </w:r>
                <w:r>
                  <w:rPr>
                    <w:rFonts w:ascii="Times New Roman"/>
                    <w:sz w:val="21"/>
                    <w:szCs w:val="21"/>
                  </w:rPr>
                  <w:fldChar w:fldCharType="separate"/>
                </w:r>
                <w:r>
                  <w:rPr>
                    <w:rFonts w:ascii="Times New Roman"/>
                    <w:sz w:val="21"/>
                    <w:szCs w:val="21"/>
                  </w:rPr>
                  <w:t>8</w:t>
                </w:r>
                <w:r>
                  <w:rPr>
                    <w:rFonts w:ascii="Times New Roman"/>
                    <w:sz w:val="21"/>
                    <w:szCs w:val="21"/>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9102AD"/>
    <w:multiLevelType w:val="multilevel"/>
    <w:tmpl w:val="079102AD"/>
    <w:lvl w:ilvl="0" w:tentative="0">
      <w:start w:val="1"/>
      <w:numFmt w:val="decimal"/>
      <w:pStyle w:val="64"/>
      <w:suff w:val="nothing"/>
      <w:lvlText w:val="注%1："/>
      <w:lvlJc w:val="left"/>
      <w:pPr>
        <w:ind w:left="811" w:hanging="448"/>
      </w:pPr>
      <w:rPr>
        <w:rFonts w:hint="eastAsia" w:ascii="黑体" w:eastAsia="黑体" w:cs="Times New Roman"/>
        <w:b w:val="0"/>
        <w:bCs w:val="0"/>
        <w:i w:val="0"/>
        <w:iCs w:val="0"/>
        <w:sz w:val="18"/>
        <w:szCs w:val="18"/>
      </w:rPr>
    </w:lvl>
    <w:lvl w:ilvl="1" w:tentative="0">
      <w:start w:val="1"/>
      <w:numFmt w:val="lowerLetter"/>
      <w:lvlText w:val="%2)"/>
      <w:lvlJc w:val="left"/>
      <w:pPr>
        <w:tabs>
          <w:tab w:val="left" w:pos="0"/>
        </w:tabs>
        <w:ind w:left="992" w:hanging="629"/>
      </w:pPr>
      <w:rPr>
        <w:rFonts w:hint="eastAsia" w:cs="Times New Roman"/>
      </w:rPr>
    </w:lvl>
    <w:lvl w:ilvl="2" w:tentative="0">
      <w:start w:val="1"/>
      <w:numFmt w:val="lowerRoman"/>
      <w:lvlText w:val="%3."/>
      <w:lvlJc w:val="right"/>
      <w:pPr>
        <w:tabs>
          <w:tab w:val="left" w:pos="0"/>
        </w:tabs>
        <w:ind w:left="992" w:hanging="629"/>
      </w:pPr>
      <w:rPr>
        <w:rFonts w:hint="eastAsia" w:cs="Times New Roman"/>
      </w:rPr>
    </w:lvl>
    <w:lvl w:ilvl="3" w:tentative="0">
      <w:start w:val="1"/>
      <w:numFmt w:val="decimal"/>
      <w:lvlText w:val="%4."/>
      <w:lvlJc w:val="left"/>
      <w:pPr>
        <w:tabs>
          <w:tab w:val="left" w:pos="0"/>
        </w:tabs>
        <w:ind w:left="992" w:hanging="629"/>
      </w:pPr>
      <w:rPr>
        <w:rFonts w:hint="eastAsia" w:cs="Times New Roman"/>
      </w:rPr>
    </w:lvl>
    <w:lvl w:ilvl="4" w:tentative="0">
      <w:start w:val="1"/>
      <w:numFmt w:val="lowerLetter"/>
      <w:lvlText w:val="%5)"/>
      <w:lvlJc w:val="left"/>
      <w:pPr>
        <w:tabs>
          <w:tab w:val="left" w:pos="0"/>
        </w:tabs>
        <w:ind w:left="992" w:hanging="629"/>
      </w:pPr>
      <w:rPr>
        <w:rFonts w:hint="eastAsia" w:cs="Times New Roman"/>
      </w:rPr>
    </w:lvl>
    <w:lvl w:ilvl="5" w:tentative="0">
      <w:start w:val="1"/>
      <w:numFmt w:val="lowerRoman"/>
      <w:lvlText w:val="%6."/>
      <w:lvlJc w:val="right"/>
      <w:pPr>
        <w:tabs>
          <w:tab w:val="left" w:pos="0"/>
        </w:tabs>
        <w:ind w:left="992" w:hanging="629"/>
      </w:pPr>
      <w:rPr>
        <w:rFonts w:hint="eastAsia" w:cs="Times New Roman"/>
      </w:rPr>
    </w:lvl>
    <w:lvl w:ilvl="6" w:tentative="0">
      <w:start w:val="1"/>
      <w:numFmt w:val="decimal"/>
      <w:lvlText w:val="%7."/>
      <w:lvlJc w:val="left"/>
      <w:pPr>
        <w:tabs>
          <w:tab w:val="left" w:pos="0"/>
        </w:tabs>
        <w:ind w:left="992" w:hanging="629"/>
      </w:pPr>
      <w:rPr>
        <w:rFonts w:hint="eastAsia" w:cs="Times New Roman"/>
      </w:rPr>
    </w:lvl>
    <w:lvl w:ilvl="7" w:tentative="0">
      <w:start w:val="1"/>
      <w:numFmt w:val="lowerLetter"/>
      <w:lvlText w:val="%8)"/>
      <w:lvlJc w:val="left"/>
      <w:pPr>
        <w:tabs>
          <w:tab w:val="left" w:pos="0"/>
        </w:tabs>
        <w:ind w:left="992" w:hanging="629"/>
      </w:pPr>
      <w:rPr>
        <w:rFonts w:hint="eastAsia" w:cs="Times New Roman"/>
      </w:rPr>
    </w:lvl>
    <w:lvl w:ilvl="8" w:tentative="0">
      <w:start w:val="1"/>
      <w:numFmt w:val="lowerRoman"/>
      <w:lvlText w:val="%9."/>
      <w:lvlJc w:val="right"/>
      <w:pPr>
        <w:tabs>
          <w:tab w:val="left" w:pos="0"/>
        </w:tabs>
        <w:ind w:left="992" w:hanging="629"/>
      </w:pPr>
      <w:rPr>
        <w:rFonts w:hint="eastAsia" w:cs="Times New Roman"/>
      </w:rPr>
    </w:lvl>
  </w:abstractNum>
  <w:abstractNum w:abstractNumId="1">
    <w:nsid w:val="63550624"/>
    <w:multiLevelType w:val="multilevel"/>
    <w:tmpl w:val="63550624"/>
    <w:lvl w:ilvl="0" w:tentative="0">
      <w:start w:val="1"/>
      <w:numFmt w:val="decimal"/>
      <w:pStyle w:val="63"/>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0"/>
  <w:bordersDoNotSurroundFooter w:val="0"/>
  <w:trackRevisions w:val="1"/>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DY1YjJiMzMwNTI2MzI4MTc3NjAxNDQ0ZDFjYTQ4MmIifQ=="/>
  </w:docVars>
  <w:rsids>
    <w:rsidRoot w:val="009C30D0"/>
    <w:rsid w:val="000011B9"/>
    <w:rsid w:val="0000372C"/>
    <w:rsid w:val="00011006"/>
    <w:rsid w:val="000176A6"/>
    <w:rsid w:val="00021FB8"/>
    <w:rsid w:val="00046F34"/>
    <w:rsid w:val="00050343"/>
    <w:rsid w:val="00056D45"/>
    <w:rsid w:val="000620E9"/>
    <w:rsid w:val="00081D4E"/>
    <w:rsid w:val="0008385D"/>
    <w:rsid w:val="000B6E3F"/>
    <w:rsid w:val="000E08DA"/>
    <w:rsid w:val="00100C71"/>
    <w:rsid w:val="00104E4C"/>
    <w:rsid w:val="00106511"/>
    <w:rsid w:val="00113A15"/>
    <w:rsid w:val="001258F8"/>
    <w:rsid w:val="00141106"/>
    <w:rsid w:val="00141330"/>
    <w:rsid w:val="001535C7"/>
    <w:rsid w:val="00153719"/>
    <w:rsid w:val="00161A13"/>
    <w:rsid w:val="001709F3"/>
    <w:rsid w:val="00192350"/>
    <w:rsid w:val="001941AC"/>
    <w:rsid w:val="001B6084"/>
    <w:rsid w:val="001C0805"/>
    <w:rsid w:val="001C605F"/>
    <w:rsid w:val="001E17DB"/>
    <w:rsid w:val="001E1A58"/>
    <w:rsid w:val="001E6DDC"/>
    <w:rsid w:val="001F2EC6"/>
    <w:rsid w:val="00210BFB"/>
    <w:rsid w:val="00215915"/>
    <w:rsid w:val="00216B70"/>
    <w:rsid w:val="002327DF"/>
    <w:rsid w:val="0023377E"/>
    <w:rsid w:val="00262C6F"/>
    <w:rsid w:val="00276477"/>
    <w:rsid w:val="002A49C6"/>
    <w:rsid w:val="002B4A7F"/>
    <w:rsid w:val="002C3A97"/>
    <w:rsid w:val="002C467F"/>
    <w:rsid w:val="002C736F"/>
    <w:rsid w:val="002D00E8"/>
    <w:rsid w:val="002D6125"/>
    <w:rsid w:val="002E1F6F"/>
    <w:rsid w:val="00300146"/>
    <w:rsid w:val="00300994"/>
    <w:rsid w:val="00316B5B"/>
    <w:rsid w:val="0034674F"/>
    <w:rsid w:val="0038430B"/>
    <w:rsid w:val="003B15C4"/>
    <w:rsid w:val="003C1E02"/>
    <w:rsid w:val="003C2DFE"/>
    <w:rsid w:val="003C4D39"/>
    <w:rsid w:val="003D01C6"/>
    <w:rsid w:val="003D7E41"/>
    <w:rsid w:val="003E01E7"/>
    <w:rsid w:val="003E2A9B"/>
    <w:rsid w:val="003F562D"/>
    <w:rsid w:val="0040386C"/>
    <w:rsid w:val="00413E41"/>
    <w:rsid w:val="0041549E"/>
    <w:rsid w:val="00415C95"/>
    <w:rsid w:val="004445D7"/>
    <w:rsid w:val="004544F3"/>
    <w:rsid w:val="0047261F"/>
    <w:rsid w:val="00474EAD"/>
    <w:rsid w:val="004943E5"/>
    <w:rsid w:val="00494B49"/>
    <w:rsid w:val="004A434D"/>
    <w:rsid w:val="004B77A4"/>
    <w:rsid w:val="004C0B14"/>
    <w:rsid w:val="004C4AAE"/>
    <w:rsid w:val="004C4C85"/>
    <w:rsid w:val="004F3DA0"/>
    <w:rsid w:val="004F7317"/>
    <w:rsid w:val="00506676"/>
    <w:rsid w:val="00533428"/>
    <w:rsid w:val="00546BC3"/>
    <w:rsid w:val="005527C4"/>
    <w:rsid w:val="005540FE"/>
    <w:rsid w:val="00566EF1"/>
    <w:rsid w:val="005950E8"/>
    <w:rsid w:val="005A1F83"/>
    <w:rsid w:val="005A75C2"/>
    <w:rsid w:val="005C2C74"/>
    <w:rsid w:val="005D1728"/>
    <w:rsid w:val="005E36C5"/>
    <w:rsid w:val="005F1D26"/>
    <w:rsid w:val="005F3266"/>
    <w:rsid w:val="0061645B"/>
    <w:rsid w:val="00621CB2"/>
    <w:rsid w:val="0063065F"/>
    <w:rsid w:val="006572C6"/>
    <w:rsid w:val="00666496"/>
    <w:rsid w:val="006D19DD"/>
    <w:rsid w:val="006E26EE"/>
    <w:rsid w:val="006E2A56"/>
    <w:rsid w:val="006E706A"/>
    <w:rsid w:val="006F01A3"/>
    <w:rsid w:val="006F4855"/>
    <w:rsid w:val="00703333"/>
    <w:rsid w:val="007143F3"/>
    <w:rsid w:val="0074266D"/>
    <w:rsid w:val="007533F1"/>
    <w:rsid w:val="00755AA0"/>
    <w:rsid w:val="007601AF"/>
    <w:rsid w:val="00765286"/>
    <w:rsid w:val="00784095"/>
    <w:rsid w:val="00784712"/>
    <w:rsid w:val="00796B91"/>
    <w:rsid w:val="007A2B00"/>
    <w:rsid w:val="007B3F13"/>
    <w:rsid w:val="007C0AC6"/>
    <w:rsid w:val="007F3B58"/>
    <w:rsid w:val="0080244B"/>
    <w:rsid w:val="0080419B"/>
    <w:rsid w:val="00812E52"/>
    <w:rsid w:val="0082095C"/>
    <w:rsid w:val="0083581F"/>
    <w:rsid w:val="008604B3"/>
    <w:rsid w:val="00866946"/>
    <w:rsid w:val="0087725B"/>
    <w:rsid w:val="008954B9"/>
    <w:rsid w:val="008A4236"/>
    <w:rsid w:val="008A52F4"/>
    <w:rsid w:val="008B19C7"/>
    <w:rsid w:val="008B4FDB"/>
    <w:rsid w:val="008B70B5"/>
    <w:rsid w:val="008B76D9"/>
    <w:rsid w:val="008C19FB"/>
    <w:rsid w:val="008C2388"/>
    <w:rsid w:val="008E73D4"/>
    <w:rsid w:val="008F16F1"/>
    <w:rsid w:val="008F390F"/>
    <w:rsid w:val="0091204A"/>
    <w:rsid w:val="00914222"/>
    <w:rsid w:val="009273F6"/>
    <w:rsid w:val="009301B7"/>
    <w:rsid w:val="00943B81"/>
    <w:rsid w:val="00952729"/>
    <w:rsid w:val="00956FC1"/>
    <w:rsid w:val="00967FF5"/>
    <w:rsid w:val="00970BD0"/>
    <w:rsid w:val="0097119A"/>
    <w:rsid w:val="009A525D"/>
    <w:rsid w:val="009A746B"/>
    <w:rsid w:val="009B1A23"/>
    <w:rsid w:val="009C0B2F"/>
    <w:rsid w:val="009C30D0"/>
    <w:rsid w:val="009C5D0C"/>
    <w:rsid w:val="009F1850"/>
    <w:rsid w:val="009F28BA"/>
    <w:rsid w:val="00A00CFA"/>
    <w:rsid w:val="00A0145D"/>
    <w:rsid w:val="00A037EF"/>
    <w:rsid w:val="00A2456D"/>
    <w:rsid w:val="00A72A0A"/>
    <w:rsid w:val="00A738AE"/>
    <w:rsid w:val="00A85262"/>
    <w:rsid w:val="00A866BF"/>
    <w:rsid w:val="00AA016F"/>
    <w:rsid w:val="00AB0112"/>
    <w:rsid w:val="00AB2CD1"/>
    <w:rsid w:val="00AB6DD8"/>
    <w:rsid w:val="00AD20AE"/>
    <w:rsid w:val="00AE042E"/>
    <w:rsid w:val="00AE3050"/>
    <w:rsid w:val="00AE4A33"/>
    <w:rsid w:val="00AF2914"/>
    <w:rsid w:val="00B004D9"/>
    <w:rsid w:val="00B0376F"/>
    <w:rsid w:val="00B3504E"/>
    <w:rsid w:val="00B4315C"/>
    <w:rsid w:val="00B43CE7"/>
    <w:rsid w:val="00B463F1"/>
    <w:rsid w:val="00B95B3B"/>
    <w:rsid w:val="00B97B94"/>
    <w:rsid w:val="00BA10EE"/>
    <w:rsid w:val="00BA2421"/>
    <w:rsid w:val="00BC114E"/>
    <w:rsid w:val="00BC2CE2"/>
    <w:rsid w:val="00BD106F"/>
    <w:rsid w:val="00BE632D"/>
    <w:rsid w:val="00BE7019"/>
    <w:rsid w:val="00BF3FB6"/>
    <w:rsid w:val="00BF5C39"/>
    <w:rsid w:val="00C035EB"/>
    <w:rsid w:val="00C10162"/>
    <w:rsid w:val="00C13F65"/>
    <w:rsid w:val="00C24941"/>
    <w:rsid w:val="00C27065"/>
    <w:rsid w:val="00C3390D"/>
    <w:rsid w:val="00C35517"/>
    <w:rsid w:val="00C53088"/>
    <w:rsid w:val="00C73319"/>
    <w:rsid w:val="00C90E45"/>
    <w:rsid w:val="00C9409B"/>
    <w:rsid w:val="00C95DBA"/>
    <w:rsid w:val="00CB246F"/>
    <w:rsid w:val="00CC0FD7"/>
    <w:rsid w:val="00CD4B66"/>
    <w:rsid w:val="00CD7D5B"/>
    <w:rsid w:val="00CE2FBF"/>
    <w:rsid w:val="00CE47E4"/>
    <w:rsid w:val="00CE66E2"/>
    <w:rsid w:val="00CF3519"/>
    <w:rsid w:val="00D03B3C"/>
    <w:rsid w:val="00D03BF8"/>
    <w:rsid w:val="00D203AE"/>
    <w:rsid w:val="00D27F11"/>
    <w:rsid w:val="00D30402"/>
    <w:rsid w:val="00D31D1A"/>
    <w:rsid w:val="00D40A89"/>
    <w:rsid w:val="00D40AE4"/>
    <w:rsid w:val="00D445D5"/>
    <w:rsid w:val="00D50D21"/>
    <w:rsid w:val="00D54E06"/>
    <w:rsid w:val="00D70787"/>
    <w:rsid w:val="00D849BD"/>
    <w:rsid w:val="00D96D40"/>
    <w:rsid w:val="00DB21CB"/>
    <w:rsid w:val="00DC1348"/>
    <w:rsid w:val="00DC21D4"/>
    <w:rsid w:val="00DC3603"/>
    <w:rsid w:val="00DC474B"/>
    <w:rsid w:val="00DC5379"/>
    <w:rsid w:val="00DD7C02"/>
    <w:rsid w:val="00DE06B5"/>
    <w:rsid w:val="00DF118E"/>
    <w:rsid w:val="00DF6676"/>
    <w:rsid w:val="00E00EFA"/>
    <w:rsid w:val="00E05028"/>
    <w:rsid w:val="00E34A0D"/>
    <w:rsid w:val="00E508B2"/>
    <w:rsid w:val="00E5193C"/>
    <w:rsid w:val="00E519A6"/>
    <w:rsid w:val="00E54254"/>
    <w:rsid w:val="00E548D1"/>
    <w:rsid w:val="00E56342"/>
    <w:rsid w:val="00E573D8"/>
    <w:rsid w:val="00E630FD"/>
    <w:rsid w:val="00E904E8"/>
    <w:rsid w:val="00EA542E"/>
    <w:rsid w:val="00EA693C"/>
    <w:rsid w:val="00EC1407"/>
    <w:rsid w:val="00EC741A"/>
    <w:rsid w:val="00ED704D"/>
    <w:rsid w:val="00EE0058"/>
    <w:rsid w:val="00EE6D9D"/>
    <w:rsid w:val="00F07C7B"/>
    <w:rsid w:val="00F32A18"/>
    <w:rsid w:val="00F37ADF"/>
    <w:rsid w:val="00F51D9A"/>
    <w:rsid w:val="00F60D37"/>
    <w:rsid w:val="00F92177"/>
    <w:rsid w:val="00FA4832"/>
    <w:rsid w:val="00FB6478"/>
    <w:rsid w:val="00FC19F2"/>
    <w:rsid w:val="00FC2ACF"/>
    <w:rsid w:val="00FE5F61"/>
    <w:rsid w:val="00FE7D4C"/>
    <w:rsid w:val="01001BF6"/>
    <w:rsid w:val="013F3E83"/>
    <w:rsid w:val="0156177E"/>
    <w:rsid w:val="01792184"/>
    <w:rsid w:val="01874F73"/>
    <w:rsid w:val="01883901"/>
    <w:rsid w:val="01E143ED"/>
    <w:rsid w:val="01F77F95"/>
    <w:rsid w:val="022300D7"/>
    <w:rsid w:val="02390900"/>
    <w:rsid w:val="026B19CF"/>
    <w:rsid w:val="02900CBF"/>
    <w:rsid w:val="029B3978"/>
    <w:rsid w:val="02BB7746"/>
    <w:rsid w:val="02C010F2"/>
    <w:rsid w:val="02C40969"/>
    <w:rsid w:val="02D50F69"/>
    <w:rsid w:val="02D77059"/>
    <w:rsid w:val="02DB540A"/>
    <w:rsid w:val="02DB6EAD"/>
    <w:rsid w:val="02DC13C9"/>
    <w:rsid w:val="02FF7BF3"/>
    <w:rsid w:val="0311404A"/>
    <w:rsid w:val="03212322"/>
    <w:rsid w:val="034344A3"/>
    <w:rsid w:val="03435D32"/>
    <w:rsid w:val="034D7EC9"/>
    <w:rsid w:val="03516F96"/>
    <w:rsid w:val="0387223D"/>
    <w:rsid w:val="039B791C"/>
    <w:rsid w:val="03B04A29"/>
    <w:rsid w:val="03B10EED"/>
    <w:rsid w:val="03B25878"/>
    <w:rsid w:val="03C043BE"/>
    <w:rsid w:val="03C572A4"/>
    <w:rsid w:val="03D270B5"/>
    <w:rsid w:val="0400330C"/>
    <w:rsid w:val="041455DD"/>
    <w:rsid w:val="041A69CD"/>
    <w:rsid w:val="0432230B"/>
    <w:rsid w:val="043D09D3"/>
    <w:rsid w:val="04590968"/>
    <w:rsid w:val="046F1656"/>
    <w:rsid w:val="048D643D"/>
    <w:rsid w:val="048F391D"/>
    <w:rsid w:val="049251C3"/>
    <w:rsid w:val="04940758"/>
    <w:rsid w:val="049525BD"/>
    <w:rsid w:val="049B3A0D"/>
    <w:rsid w:val="04CD1839"/>
    <w:rsid w:val="04D806FC"/>
    <w:rsid w:val="04EA62D3"/>
    <w:rsid w:val="04FC088E"/>
    <w:rsid w:val="052D0ED1"/>
    <w:rsid w:val="05375E4A"/>
    <w:rsid w:val="05405101"/>
    <w:rsid w:val="054B711F"/>
    <w:rsid w:val="056761C0"/>
    <w:rsid w:val="056E08C6"/>
    <w:rsid w:val="05776166"/>
    <w:rsid w:val="05940AC6"/>
    <w:rsid w:val="05955EE8"/>
    <w:rsid w:val="05E4213A"/>
    <w:rsid w:val="05EC37DD"/>
    <w:rsid w:val="060356C3"/>
    <w:rsid w:val="06305B70"/>
    <w:rsid w:val="066F12AC"/>
    <w:rsid w:val="06762869"/>
    <w:rsid w:val="06874187"/>
    <w:rsid w:val="068F06C2"/>
    <w:rsid w:val="06976AC0"/>
    <w:rsid w:val="06AA7534"/>
    <w:rsid w:val="06D373CC"/>
    <w:rsid w:val="06D973D9"/>
    <w:rsid w:val="06EC5B17"/>
    <w:rsid w:val="070457D8"/>
    <w:rsid w:val="071A324D"/>
    <w:rsid w:val="071F0864"/>
    <w:rsid w:val="07287718"/>
    <w:rsid w:val="07593D76"/>
    <w:rsid w:val="076F17EB"/>
    <w:rsid w:val="07B52751"/>
    <w:rsid w:val="07F12DD4"/>
    <w:rsid w:val="085B3B1D"/>
    <w:rsid w:val="091B5B83"/>
    <w:rsid w:val="091C4A6B"/>
    <w:rsid w:val="092403CF"/>
    <w:rsid w:val="0926701B"/>
    <w:rsid w:val="097A7FD3"/>
    <w:rsid w:val="097C01EF"/>
    <w:rsid w:val="09931095"/>
    <w:rsid w:val="09976DD7"/>
    <w:rsid w:val="099A2423"/>
    <w:rsid w:val="09AB4631"/>
    <w:rsid w:val="09B94F9F"/>
    <w:rsid w:val="09D43AF7"/>
    <w:rsid w:val="09DA57ED"/>
    <w:rsid w:val="09FB55B8"/>
    <w:rsid w:val="0A0A189F"/>
    <w:rsid w:val="0A1102E2"/>
    <w:rsid w:val="0A120EE6"/>
    <w:rsid w:val="0A1246B0"/>
    <w:rsid w:val="0A2A37A7"/>
    <w:rsid w:val="0A8F399C"/>
    <w:rsid w:val="0A9136B2"/>
    <w:rsid w:val="0A9E2212"/>
    <w:rsid w:val="0AB4794F"/>
    <w:rsid w:val="0AB9737B"/>
    <w:rsid w:val="0ACE232E"/>
    <w:rsid w:val="0ADF27E4"/>
    <w:rsid w:val="0AEC3EFD"/>
    <w:rsid w:val="0B093D9B"/>
    <w:rsid w:val="0B1C3A38"/>
    <w:rsid w:val="0B2F4DA6"/>
    <w:rsid w:val="0B3B3792"/>
    <w:rsid w:val="0B3D5D9E"/>
    <w:rsid w:val="0B3D750A"/>
    <w:rsid w:val="0B621790"/>
    <w:rsid w:val="0B8B234E"/>
    <w:rsid w:val="0BB973F1"/>
    <w:rsid w:val="0BC14AA7"/>
    <w:rsid w:val="0BD37FA1"/>
    <w:rsid w:val="0BD47E6F"/>
    <w:rsid w:val="0BE74194"/>
    <w:rsid w:val="0C0A4D14"/>
    <w:rsid w:val="0C126BE9"/>
    <w:rsid w:val="0C172450"/>
    <w:rsid w:val="0C1740AF"/>
    <w:rsid w:val="0C262153"/>
    <w:rsid w:val="0C48096B"/>
    <w:rsid w:val="0C807FF6"/>
    <w:rsid w:val="0CAC4948"/>
    <w:rsid w:val="0CBF50E0"/>
    <w:rsid w:val="0CC066D9"/>
    <w:rsid w:val="0CC872A8"/>
    <w:rsid w:val="0CEB1914"/>
    <w:rsid w:val="0D0070F9"/>
    <w:rsid w:val="0D2766C4"/>
    <w:rsid w:val="0D3552CD"/>
    <w:rsid w:val="0D396249"/>
    <w:rsid w:val="0D3A3D4E"/>
    <w:rsid w:val="0D486112"/>
    <w:rsid w:val="0D4B4161"/>
    <w:rsid w:val="0D5B3CFF"/>
    <w:rsid w:val="0D606D7A"/>
    <w:rsid w:val="0D91020D"/>
    <w:rsid w:val="0D9A0C44"/>
    <w:rsid w:val="0D9D0734"/>
    <w:rsid w:val="0DB241E0"/>
    <w:rsid w:val="0DC67C8B"/>
    <w:rsid w:val="0DFF319D"/>
    <w:rsid w:val="0E0C5377"/>
    <w:rsid w:val="0E460DCC"/>
    <w:rsid w:val="0E5E7EC3"/>
    <w:rsid w:val="0ECB20BE"/>
    <w:rsid w:val="0ED308B1"/>
    <w:rsid w:val="0EDB0027"/>
    <w:rsid w:val="0EF67123"/>
    <w:rsid w:val="0F203DE2"/>
    <w:rsid w:val="0F3B0205"/>
    <w:rsid w:val="0F696B20"/>
    <w:rsid w:val="0F90245B"/>
    <w:rsid w:val="0F940EF4"/>
    <w:rsid w:val="0F9718DF"/>
    <w:rsid w:val="0F9B1051"/>
    <w:rsid w:val="0FA56A85"/>
    <w:rsid w:val="0FA91612"/>
    <w:rsid w:val="0FAE350E"/>
    <w:rsid w:val="0FFE08AF"/>
    <w:rsid w:val="10090F42"/>
    <w:rsid w:val="10121653"/>
    <w:rsid w:val="10225B78"/>
    <w:rsid w:val="10594DE6"/>
    <w:rsid w:val="106F460A"/>
    <w:rsid w:val="10A83B80"/>
    <w:rsid w:val="10FC5772"/>
    <w:rsid w:val="11001706"/>
    <w:rsid w:val="11360C84"/>
    <w:rsid w:val="113D331A"/>
    <w:rsid w:val="113E3FDC"/>
    <w:rsid w:val="11764382"/>
    <w:rsid w:val="119E494C"/>
    <w:rsid w:val="11CB3AC2"/>
    <w:rsid w:val="11CF76DE"/>
    <w:rsid w:val="11FA43A7"/>
    <w:rsid w:val="120B3DD4"/>
    <w:rsid w:val="123D5F7B"/>
    <w:rsid w:val="128633D3"/>
    <w:rsid w:val="128F3B14"/>
    <w:rsid w:val="129B16E6"/>
    <w:rsid w:val="12A06CFD"/>
    <w:rsid w:val="12A762DD"/>
    <w:rsid w:val="12B409FA"/>
    <w:rsid w:val="133E02C4"/>
    <w:rsid w:val="13421B62"/>
    <w:rsid w:val="134A2E24"/>
    <w:rsid w:val="136C2F83"/>
    <w:rsid w:val="138959E3"/>
    <w:rsid w:val="13B10A95"/>
    <w:rsid w:val="13C41D09"/>
    <w:rsid w:val="13CC392F"/>
    <w:rsid w:val="13D20EA7"/>
    <w:rsid w:val="13D24410"/>
    <w:rsid w:val="13ED2FE3"/>
    <w:rsid w:val="13F632D9"/>
    <w:rsid w:val="140E272A"/>
    <w:rsid w:val="14291674"/>
    <w:rsid w:val="144B7C59"/>
    <w:rsid w:val="146F5CE8"/>
    <w:rsid w:val="147822DF"/>
    <w:rsid w:val="148F15BA"/>
    <w:rsid w:val="14E1184E"/>
    <w:rsid w:val="14EF5D19"/>
    <w:rsid w:val="15177DF7"/>
    <w:rsid w:val="15193A9C"/>
    <w:rsid w:val="151E0B36"/>
    <w:rsid w:val="15253679"/>
    <w:rsid w:val="15264767"/>
    <w:rsid w:val="15283223"/>
    <w:rsid w:val="15616E29"/>
    <w:rsid w:val="15630FC0"/>
    <w:rsid w:val="158A5A42"/>
    <w:rsid w:val="159468C1"/>
    <w:rsid w:val="15F04A59"/>
    <w:rsid w:val="16337E88"/>
    <w:rsid w:val="163F32D7"/>
    <w:rsid w:val="16557DFE"/>
    <w:rsid w:val="166B13D0"/>
    <w:rsid w:val="167E55A7"/>
    <w:rsid w:val="16B0772A"/>
    <w:rsid w:val="16BD380F"/>
    <w:rsid w:val="16D52CED"/>
    <w:rsid w:val="16E41182"/>
    <w:rsid w:val="16EA144D"/>
    <w:rsid w:val="17051824"/>
    <w:rsid w:val="1711641B"/>
    <w:rsid w:val="172872C1"/>
    <w:rsid w:val="17514A69"/>
    <w:rsid w:val="17664CEC"/>
    <w:rsid w:val="178678D9"/>
    <w:rsid w:val="1791791C"/>
    <w:rsid w:val="179E7170"/>
    <w:rsid w:val="17A26617"/>
    <w:rsid w:val="17AD5A18"/>
    <w:rsid w:val="17CE7E68"/>
    <w:rsid w:val="17CF257F"/>
    <w:rsid w:val="17DE3E23"/>
    <w:rsid w:val="18011F03"/>
    <w:rsid w:val="1802759E"/>
    <w:rsid w:val="181066D2"/>
    <w:rsid w:val="1824217E"/>
    <w:rsid w:val="183323C1"/>
    <w:rsid w:val="18552337"/>
    <w:rsid w:val="185C1667"/>
    <w:rsid w:val="187F73B4"/>
    <w:rsid w:val="18B44FA5"/>
    <w:rsid w:val="18C6108C"/>
    <w:rsid w:val="18D20390"/>
    <w:rsid w:val="18F953B8"/>
    <w:rsid w:val="18F97167"/>
    <w:rsid w:val="19202781"/>
    <w:rsid w:val="193A152D"/>
    <w:rsid w:val="1954439D"/>
    <w:rsid w:val="195E389A"/>
    <w:rsid w:val="19656DD0"/>
    <w:rsid w:val="19B80892"/>
    <w:rsid w:val="19CC36C0"/>
    <w:rsid w:val="19D9087D"/>
    <w:rsid w:val="19E42E05"/>
    <w:rsid w:val="19F93196"/>
    <w:rsid w:val="1A077661"/>
    <w:rsid w:val="1A0C4C78"/>
    <w:rsid w:val="1A18186E"/>
    <w:rsid w:val="1A234C7E"/>
    <w:rsid w:val="1A4E66DC"/>
    <w:rsid w:val="1A520977"/>
    <w:rsid w:val="1A7B1DFD"/>
    <w:rsid w:val="1AA21AC2"/>
    <w:rsid w:val="1ADD03C2"/>
    <w:rsid w:val="1AEE4DCF"/>
    <w:rsid w:val="1AF10480"/>
    <w:rsid w:val="1B014DBD"/>
    <w:rsid w:val="1B074D36"/>
    <w:rsid w:val="1B1069E9"/>
    <w:rsid w:val="1B177D78"/>
    <w:rsid w:val="1B193AF0"/>
    <w:rsid w:val="1B476759"/>
    <w:rsid w:val="1B6A22B0"/>
    <w:rsid w:val="1BD210C6"/>
    <w:rsid w:val="1BD73063"/>
    <w:rsid w:val="1BE14696"/>
    <w:rsid w:val="1BFD6F6E"/>
    <w:rsid w:val="1C107D02"/>
    <w:rsid w:val="1C417326"/>
    <w:rsid w:val="1C4529B6"/>
    <w:rsid w:val="1C5C2071"/>
    <w:rsid w:val="1C625101"/>
    <w:rsid w:val="1C907DE2"/>
    <w:rsid w:val="1CAE0268"/>
    <w:rsid w:val="1CE41EA1"/>
    <w:rsid w:val="1D0B7468"/>
    <w:rsid w:val="1D0F3B07"/>
    <w:rsid w:val="1D121095"/>
    <w:rsid w:val="1D291912"/>
    <w:rsid w:val="1D297EDF"/>
    <w:rsid w:val="1D383FD6"/>
    <w:rsid w:val="1D3D339A"/>
    <w:rsid w:val="1D3E7EDB"/>
    <w:rsid w:val="1D5C204B"/>
    <w:rsid w:val="1D8B7E73"/>
    <w:rsid w:val="1DDD6F1D"/>
    <w:rsid w:val="1DDF7A40"/>
    <w:rsid w:val="1E1B7B7F"/>
    <w:rsid w:val="1E2A7C47"/>
    <w:rsid w:val="1E313432"/>
    <w:rsid w:val="1E402022"/>
    <w:rsid w:val="1E470974"/>
    <w:rsid w:val="1E4C1AE7"/>
    <w:rsid w:val="1E6D7CAF"/>
    <w:rsid w:val="1E8079E2"/>
    <w:rsid w:val="1E920F2E"/>
    <w:rsid w:val="1E9A03AC"/>
    <w:rsid w:val="1E9D67E6"/>
    <w:rsid w:val="1EF130C7"/>
    <w:rsid w:val="1EF67CA4"/>
    <w:rsid w:val="1FA354BF"/>
    <w:rsid w:val="1FCD0486"/>
    <w:rsid w:val="1FE36763"/>
    <w:rsid w:val="1FEA15B7"/>
    <w:rsid w:val="1FF82C18"/>
    <w:rsid w:val="1FFB3407"/>
    <w:rsid w:val="20084133"/>
    <w:rsid w:val="20155A95"/>
    <w:rsid w:val="203B42C4"/>
    <w:rsid w:val="20784E15"/>
    <w:rsid w:val="209701D7"/>
    <w:rsid w:val="20B7775D"/>
    <w:rsid w:val="20C16557"/>
    <w:rsid w:val="20C4005A"/>
    <w:rsid w:val="20C75D9C"/>
    <w:rsid w:val="20E976FD"/>
    <w:rsid w:val="20EF09AB"/>
    <w:rsid w:val="20F52909"/>
    <w:rsid w:val="20FC3C98"/>
    <w:rsid w:val="20FD356C"/>
    <w:rsid w:val="21050555"/>
    <w:rsid w:val="21220C7C"/>
    <w:rsid w:val="21354AB4"/>
    <w:rsid w:val="213571AA"/>
    <w:rsid w:val="21871088"/>
    <w:rsid w:val="21AA3516"/>
    <w:rsid w:val="21B52099"/>
    <w:rsid w:val="21D00C81"/>
    <w:rsid w:val="21DC5877"/>
    <w:rsid w:val="21F763A4"/>
    <w:rsid w:val="222F0691"/>
    <w:rsid w:val="223E5BEA"/>
    <w:rsid w:val="22493170"/>
    <w:rsid w:val="22AF0896"/>
    <w:rsid w:val="22BD4D30"/>
    <w:rsid w:val="22C63C28"/>
    <w:rsid w:val="22C87CCC"/>
    <w:rsid w:val="22DA0392"/>
    <w:rsid w:val="22F4274D"/>
    <w:rsid w:val="22FE5379"/>
    <w:rsid w:val="230B6414"/>
    <w:rsid w:val="233D5EA2"/>
    <w:rsid w:val="23616034"/>
    <w:rsid w:val="23735D67"/>
    <w:rsid w:val="23842F0D"/>
    <w:rsid w:val="23894867"/>
    <w:rsid w:val="23C865F0"/>
    <w:rsid w:val="23C93BD9"/>
    <w:rsid w:val="23CC46CE"/>
    <w:rsid w:val="23CE11F0"/>
    <w:rsid w:val="23EE02DF"/>
    <w:rsid w:val="24114F05"/>
    <w:rsid w:val="24407927"/>
    <w:rsid w:val="244119C2"/>
    <w:rsid w:val="246456B0"/>
    <w:rsid w:val="24822393"/>
    <w:rsid w:val="2483647E"/>
    <w:rsid w:val="2492046F"/>
    <w:rsid w:val="249E0BC2"/>
    <w:rsid w:val="24B40522"/>
    <w:rsid w:val="24C41FAF"/>
    <w:rsid w:val="24D03CD9"/>
    <w:rsid w:val="24F007E4"/>
    <w:rsid w:val="25071243"/>
    <w:rsid w:val="25276E09"/>
    <w:rsid w:val="25357B88"/>
    <w:rsid w:val="253F23A5"/>
    <w:rsid w:val="255D6379"/>
    <w:rsid w:val="257B7155"/>
    <w:rsid w:val="258D2325"/>
    <w:rsid w:val="25982BAC"/>
    <w:rsid w:val="259A582D"/>
    <w:rsid w:val="25B30B82"/>
    <w:rsid w:val="25B44BE3"/>
    <w:rsid w:val="25DC5D6A"/>
    <w:rsid w:val="25EB7E37"/>
    <w:rsid w:val="260809E9"/>
    <w:rsid w:val="262E5023"/>
    <w:rsid w:val="26832765"/>
    <w:rsid w:val="268A4E7D"/>
    <w:rsid w:val="26BB2C67"/>
    <w:rsid w:val="26C22739"/>
    <w:rsid w:val="26E82F38"/>
    <w:rsid w:val="26EC0FAA"/>
    <w:rsid w:val="272A2BE1"/>
    <w:rsid w:val="275163C0"/>
    <w:rsid w:val="276E0D20"/>
    <w:rsid w:val="27702CEA"/>
    <w:rsid w:val="277C5432"/>
    <w:rsid w:val="27E96E49"/>
    <w:rsid w:val="28017DE6"/>
    <w:rsid w:val="2805028C"/>
    <w:rsid w:val="28151D1B"/>
    <w:rsid w:val="281F281F"/>
    <w:rsid w:val="28447CD2"/>
    <w:rsid w:val="2865661D"/>
    <w:rsid w:val="28700AC7"/>
    <w:rsid w:val="28793931"/>
    <w:rsid w:val="288A7DDB"/>
    <w:rsid w:val="288F53F1"/>
    <w:rsid w:val="28A54C15"/>
    <w:rsid w:val="28C52BC1"/>
    <w:rsid w:val="28E514B5"/>
    <w:rsid w:val="291718D0"/>
    <w:rsid w:val="291F4E80"/>
    <w:rsid w:val="292269F9"/>
    <w:rsid w:val="292518B2"/>
    <w:rsid w:val="29325D7D"/>
    <w:rsid w:val="294A3FD8"/>
    <w:rsid w:val="294D6867"/>
    <w:rsid w:val="296323DA"/>
    <w:rsid w:val="296717C4"/>
    <w:rsid w:val="298F4F7D"/>
    <w:rsid w:val="29C00348"/>
    <w:rsid w:val="29CA7E5D"/>
    <w:rsid w:val="29DA269C"/>
    <w:rsid w:val="29E03A2B"/>
    <w:rsid w:val="29EC0622"/>
    <w:rsid w:val="29FB683F"/>
    <w:rsid w:val="2A075F37"/>
    <w:rsid w:val="2A0A4121"/>
    <w:rsid w:val="2A11464D"/>
    <w:rsid w:val="2A1A518F"/>
    <w:rsid w:val="2A3E48AF"/>
    <w:rsid w:val="2A426494"/>
    <w:rsid w:val="2A4E7C7A"/>
    <w:rsid w:val="2A6D6C58"/>
    <w:rsid w:val="2A7228D5"/>
    <w:rsid w:val="2AA44602"/>
    <w:rsid w:val="2AA57AE7"/>
    <w:rsid w:val="2ABE5B1A"/>
    <w:rsid w:val="2ACB72AC"/>
    <w:rsid w:val="2ACC6349"/>
    <w:rsid w:val="2AD45722"/>
    <w:rsid w:val="2AEA4B61"/>
    <w:rsid w:val="2AF7289E"/>
    <w:rsid w:val="2AFB4FC0"/>
    <w:rsid w:val="2AFC2AE6"/>
    <w:rsid w:val="2B0A3C4A"/>
    <w:rsid w:val="2B0B2D29"/>
    <w:rsid w:val="2B2838DB"/>
    <w:rsid w:val="2B3C2072"/>
    <w:rsid w:val="2B411B37"/>
    <w:rsid w:val="2B4B0704"/>
    <w:rsid w:val="2B597F39"/>
    <w:rsid w:val="2B836B2A"/>
    <w:rsid w:val="2B9E594C"/>
    <w:rsid w:val="2BA50A88"/>
    <w:rsid w:val="2BAD27FA"/>
    <w:rsid w:val="2BBD5222"/>
    <w:rsid w:val="2BC70369"/>
    <w:rsid w:val="2BCD6194"/>
    <w:rsid w:val="2BEE7693"/>
    <w:rsid w:val="2BF33EE9"/>
    <w:rsid w:val="2C196879"/>
    <w:rsid w:val="2C3C763E"/>
    <w:rsid w:val="2C410064"/>
    <w:rsid w:val="2C45434C"/>
    <w:rsid w:val="2C493B09"/>
    <w:rsid w:val="2C5D71FE"/>
    <w:rsid w:val="2C723060"/>
    <w:rsid w:val="2C7C7A3B"/>
    <w:rsid w:val="2C8E1203"/>
    <w:rsid w:val="2CA038AD"/>
    <w:rsid w:val="2CAB0167"/>
    <w:rsid w:val="2CDA6E57"/>
    <w:rsid w:val="2CFE48F4"/>
    <w:rsid w:val="2D684463"/>
    <w:rsid w:val="2D6F57F1"/>
    <w:rsid w:val="2D7050C6"/>
    <w:rsid w:val="2D8C4390"/>
    <w:rsid w:val="2D9405D8"/>
    <w:rsid w:val="2D9D5B09"/>
    <w:rsid w:val="2DF91651"/>
    <w:rsid w:val="2E050709"/>
    <w:rsid w:val="2E145807"/>
    <w:rsid w:val="2E2073AA"/>
    <w:rsid w:val="2E232138"/>
    <w:rsid w:val="2E2C5A4B"/>
    <w:rsid w:val="2E2E1209"/>
    <w:rsid w:val="2E344345"/>
    <w:rsid w:val="2E3E2B28"/>
    <w:rsid w:val="2E552C39"/>
    <w:rsid w:val="2E5A3DAC"/>
    <w:rsid w:val="2E666F6E"/>
    <w:rsid w:val="2E7B3D22"/>
    <w:rsid w:val="2EA92857"/>
    <w:rsid w:val="2EA96AE1"/>
    <w:rsid w:val="2EB35574"/>
    <w:rsid w:val="2EC44DB8"/>
    <w:rsid w:val="2EED10C4"/>
    <w:rsid w:val="2EFF0FAA"/>
    <w:rsid w:val="2F244E9F"/>
    <w:rsid w:val="2F3C5BA7"/>
    <w:rsid w:val="2F3E191F"/>
    <w:rsid w:val="2F5702EB"/>
    <w:rsid w:val="2F744D4E"/>
    <w:rsid w:val="2F920DA6"/>
    <w:rsid w:val="2F937909"/>
    <w:rsid w:val="2F9F7B5B"/>
    <w:rsid w:val="2FAF0127"/>
    <w:rsid w:val="2FC34FB4"/>
    <w:rsid w:val="2FE36023"/>
    <w:rsid w:val="3014442E"/>
    <w:rsid w:val="301461DC"/>
    <w:rsid w:val="301618AB"/>
    <w:rsid w:val="302A1EA4"/>
    <w:rsid w:val="303D5733"/>
    <w:rsid w:val="30534F57"/>
    <w:rsid w:val="30643773"/>
    <w:rsid w:val="30921DA2"/>
    <w:rsid w:val="3097025B"/>
    <w:rsid w:val="30CA68E3"/>
    <w:rsid w:val="30CC3E42"/>
    <w:rsid w:val="30D1758B"/>
    <w:rsid w:val="31046903"/>
    <w:rsid w:val="310B7C31"/>
    <w:rsid w:val="311741D6"/>
    <w:rsid w:val="315417CE"/>
    <w:rsid w:val="316B4522"/>
    <w:rsid w:val="31753A31"/>
    <w:rsid w:val="31833619"/>
    <w:rsid w:val="319A163C"/>
    <w:rsid w:val="31AA161B"/>
    <w:rsid w:val="31BA682B"/>
    <w:rsid w:val="31BE4652"/>
    <w:rsid w:val="31C0503C"/>
    <w:rsid w:val="31C0661C"/>
    <w:rsid w:val="31C54C83"/>
    <w:rsid w:val="31C854D0"/>
    <w:rsid w:val="31CB056A"/>
    <w:rsid w:val="31EB7444"/>
    <w:rsid w:val="320C1861"/>
    <w:rsid w:val="324A708E"/>
    <w:rsid w:val="326571C3"/>
    <w:rsid w:val="32A001FB"/>
    <w:rsid w:val="32C57C62"/>
    <w:rsid w:val="32D06266"/>
    <w:rsid w:val="32E7407C"/>
    <w:rsid w:val="32F81DE5"/>
    <w:rsid w:val="331C1F78"/>
    <w:rsid w:val="331F3816"/>
    <w:rsid w:val="33245F71"/>
    <w:rsid w:val="33350B37"/>
    <w:rsid w:val="335C1906"/>
    <w:rsid w:val="336631F3"/>
    <w:rsid w:val="33703E18"/>
    <w:rsid w:val="337D1F97"/>
    <w:rsid w:val="3380630C"/>
    <w:rsid w:val="33891BF7"/>
    <w:rsid w:val="338C3C25"/>
    <w:rsid w:val="33910A66"/>
    <w:rsid w:val="33AE0D4F"/>
    <w:rsid w:val="33E323D5"/>
    <w:rsid w:val="33EE7E0F"/>
    <w:rsid w:val="33FC76B3"/>
    <w:rsid w:val="340F0F75"/>
    <w:rsid w:val="34362940"/>
    <w:rsid w:val="34453929"/>
    <w:rsid w:val="344A041F"/>
    <w:rsid w:val="34670E00"/>
    <w:rsid w:val="348C6C89"/>
    <w:rsid w:val="34AE30A3"/>
    <w:rsid w:val="34BD50C3"/>
    <w:rsid w:val="34CE032B"/>
    <w:rsid w:val="34E91372"/>
    <w:rsid w:val="34EA314B"/>
    <w:rsid w:val="352771A9"/>
    <w:rsid w:val="352A5E1F"/>
    <w:rsid w:val="353C78A5"/>
    <w:rsid w:val="35413331"/>
    <w:rsid w:val="354E3242"/>
    <w:rsid w:val="35521C81"/>
    <w:rsid w:val="355645A5"/>
    <w:rsid w:val="355D6BE9"/>
    <w:rsid w:val="357D54F7"/>
    <w:rsid w:val="359C4324"/>
    <w:rsid w:val="359E6C74"/>
    <w:rsid w:val="35A40002"/>
    <w:rsid w:val="35CC3248"/>
    <w:rsid w:val="35D42291"/>
    <w:rsid w:val="35EB79DF"/>
    <w:rsid w:val="35ED3757"/>
    <w:rsid w:val="36162CAE"/>
    <w:rsid w:val="363E0457"/>
    <w:rsid w:val="36432D79"/>
    <w:rsid w:val="36451395"/>
    <w:rsid w:val="364E72B1"/>
    <w:rsid w:val="36687282"/>
    <w:rsid w:val="36723C5D"/>
    <w:rsid w:val="367900AF"/>
    <w:rsid w:val="3682306B"/>
    <w:rsid w:val="36861020"/>
    <w:rsid w:val="36C97CBE"/>
    <w:rsid w:val="36CE5F98"/>
    <w:rsid w:val="36D059B8"/>
    <w:rsid w:val="36FA6D71"/>
    <w:rsid w:val="370074BA"/>
    <w:rsid w:val="37021757"/>
    <w:rsid w:val="372B4B9D"/>
    <w:rsid w:val="372F06AE"/>
    <w:rsid w:val="375B3C7B"/>
    <w:rsid w:val="37997376"/>
    <w:rsid w:val="37A445AF"/>
    <w:rsid w:val="37B07132"/>
    <w:rsid w:val="37B1030C"/>
    <w:rsid w:val="37BC7885"/>
    <w:rsid w:val="37C0630C"/>
    <w:rsid w:val="37E91BD0"/>
    <w:rsid w:val="37ED7A3F"/>
    <w:rsid w:val="38350283"/>
    <w:rsid w:val="38407E99"/>
    <w:rsid w:val="384E2DD7"/>
    <w:rsid w:val="38575DCE"/>
    <w:rsid w:val="38701C5D"/>
    <w:rsid w:val="388A20A7"/>
    <w:rsid w:val="388D2FD0"/>
    <w:rsid w:val="38991EA8"/>
    <w:rsid w:val="38A81BB8"/>
    <w:rsid w:val="38A85508"/>
    <w:rsid w:val="38BC1E88"/>
    <w:rsid w:val="38CB2D34"/>
    <w:rsid w:val="38DC1D07"/>
    <w:rsid w:val="38EE3DEE"/>
    <w:rsid w:val="38F25761"/>
    <w:rsid w:val="38F372D7"/>
    <w:rsid w:val="3905525C"/>
    <w:rsid w:val="390E0D37"/>
    <w:rsid w:val="391652B8"/>
    <w:rsid w:val="3930725A"/>
    <w:rsid w:val="39312136"/>
    <w:rsid w:val="396C5791"/>
    <w:rsid w:val="396E4BAF"/>
    <w:rsid w:val="396F1706"/>
    <w:rsid w:val="39913610"/>
    <w:rsid w:val="39A90322"/>
    <w:rsid w:val="39AE76A2"/>
    <w:rsid w:val="39AF66BF"/>
    <w:rsid w:val="39BC3D54"/>
    <w:rsid w:val="39D07618"/>
    <w:rsid w:val="39E66E3B"/>
    <w:rsid w:val="39FC665F"/>
    <w:rsid w:val="3A06303A"/>
    <w:rsid w:val="3A081A7A"/>
    <w:rsid w:val="3A0B68A2"/>
    <w:rsid w:val="3A2B0CF2"/>
    <w:rsid w:val="3A5C534F"/>
    <w:rsid w:val="3A606BEE"/>
    <w:rsid w:val="3A8904FD"/>
    <w:rsid w:val="3A9036B3"/>
    <w:rsid w:val="3AA45BF2"/>
    <w:rsid w:val="3ADC650D"/>
    <w:rsid w:val="3B093F20"/>
    <w:rsid w:val="3B0A04B5"/>
    <w:rsid w:val="3B1479D8"/>
    <w:rsid w:val="3B251BE5"/>
    <w:rsid w:val="3B3C0A92"/>
    <w:rsid w:val="3B422284"/>
    <w:rsid w:val="3B5626E1"/>
    <w:rsid w:val="3B64626A"/>
    <w:rsid w:val="3B8D4555"/>
    <w:rsid w:val="3BA84711"/>
    <w:rsid w:val="3BB12603"/>
    <w:rsid w:val="3BC16B45"/>
    <w:rsid w:val="3BC46D08"/>
    <w:rsid w:val="3BCD02B3"/>
    <w:rsid w:val="3BD95A5A"/>
    <w:rsid w:val="3C1E2C42"/>
    <w:rsid w:val="3C2B4B27"/>
    <w:rsid w:val="3C447613"/>
    <w:rsid w:val="3C7E77FF"/>
    <w:rsid w:val="3C927F4A"/>
    <w:rsid w:val="3CA54D8C"/>
    <w:rsid w:val="3CB054DF"/>
    <w:rsid w:val="3CB23005"/>
    <w:rsid w:val="3CB2745A"/>
    <w:rsid w:val="3CD21C85"/>
    <w:rsid w:val="3D145A6E"/>
    <w:rsid w:val="3D2C1009"/>
    <w:rsid w:val="3D34687C"/>
    <w:rsid w:val="3D4A4FA9"/>
    <w:rsid w:val="3D5F396D"/>
    <w:rsid w:val="3D6D1026"/>
    <w:rsid w:val="3D794D47"/>
    <w:rsid w:val="3DBA2D6A"/>
    <w:rsid w:val="3DBA4867"/>
    <w:rsid w:val="3DF31B27"/>
    <w:rsid w:val="3E012496"/>
    <w:rsid w:val="3E1A4074"/>
    <w:rsid w:val="3E484649"/>
    <w:rsid w:val="3E542365"/>
    <w:rsid w:val="3E584BA3"/>
    <w:rsid w:val="3E6842C3"/>
    <w:rsid w:val="3E6D3687"/>
    <w:rsid w:val="3E80785E"/>
    <w:rsid w:val="3E95439E"/>
    <w:rsid w:val="3E9B7303"/>
    <w:rsid w:val="3EAB0654"/>
    <w:rsid w:val="3EAD4A34"/>
    <w:rsid w:val="3EB46411"/>
    <w:rsid w:val="3EB768EA"/>
    <w:rsid w:val="3EBF4DD4"/>
    <w:rsid w:val="3EBF69D8"/>
    <w:rsid w:val="3ECF0E18"/>
    <w:rsid w:val="3ED662D7"/>
    <w:rsid w:val="3ED76EB2"/>
    <w:rsid w:val="3EED47C8"/>
    <w:rsid w:val="3EF45B57"/>
    <w:rsid w:val="3F1A5EE5"/>
    <w:rsid w:val="3F1B7587"/>
    <w:rsid w:val="3F272466"/>
    <w:rsid w:val="3F2D1834"/>
    <w:rsid w:val="3F4A6B56"/>
    <w:rsid w:val="3F524802"/>
    <w:rsid w:val="3F756BE7"/>
    <w:rsid w:val="3F7B6278"/>
    <w:rsid w:val="3F9B4375"/>
    <w:rsid w:val="3FAF1A7E"/>
    <w:rsid w:val="3FE441DE"/>
    <w:rsid w:val="3FFB6CA2"/>
    <w:rsid w:val="401A15ED"/>
    <w:rsid w:val="40362E2E"/>
    <w:rsid w:val="4044666A"/>
    <w:rsid w:val="404C1F33"/>
    <w:rsid w:val="40503261"/>
    <w:rsid w:val="40621819"/>
    <w:rsid w:val="407C22A8"/>
    <w:rsid w:val="409D36D0"/>
    <w:rsid w:val="409E6876"/>
    <w:rsid w:val="40AF23DE"/>
    <w:rsid w:val="40AF442B"/>
    <w:rsid w:val="40C5296B"/>
    <w:rsid w:val="40C84DFA"/>
    <w:rsid w:val="40DF5724"/>
    <w:rsid w:val="40F0234E"/>
    <w:rsid w:val="40F21174"/>
    <w:rsid w:val="410B7187"/>
    <w:rsid w:val="411124A2"/>
    <w:rsid w:val="41390199"/>
    <w:rsid w:val="413B2AE0"/>
    <w:rsid w:val="4169503B"/>
    <w:rsid w:val="41952BC8"/>
    <w:rsid w:val="419751D9"/>
    <w:rsid w:val="419E624E"/>
    <w:rsid w:val="41AE46E3"/>
    <w:rsid w:val="41B05BDD"/>
    <w:rsid w:val="41BD7202"/>
    <w:rsid w:val="41C23074"/>
    <w:rsid w:val="41D33FF9"/>
    <w:rsid w:val="41D60587"/>
    <w:rsid w:val="41F7515B"/>
    <w:rsid w:val="41FA16D6"/>
    <w:rsid w:val="41FB71FC"/>
    <w:rsid w:val="42110AE3"/>
    <w:rsid w:val="425014D4"/>
    <w:rsid w:val="42DD0AFB"/>
    <w:rsid w:val="42E740E0"/>
    <w:rsid w:val="42F20F80"/>
    <w:rsid w:val="42FC37C5"/>
    <w:rsid w:val="430420E0"/>
    <w:rsid w:val="43160791"/>
    <w:rsid w:val="431B4E6A"/>
    <w:rsid w:val="43210EE4"/>
    <w:rsid w:val="432E715D"/>
    <w:rsid w:val="432F130C"/>
    <w:rsid w:val="433429C6"/>
    <w:rsid w:val="43533A57"/>
    <w:rsid w:val="4374370A"/>
    <w:rsid w:val="43BD0C0D"/>
    <w:rsid w:val="43C57AC2"/>
    <w:rsid w:val="43C7209D"/>
    <w:rsid w:val="43D93C6F"/>
    <w:rsid w:val="43E3619A"/>
    <w:rsid w:val="43E95AA6"/>
    <w:rsid w:val="440A1978"/>
    <w:rsid w:val="442B201A"/>
    <w:rsid w:val="4435289B"/>
    <w:rsid w:val="4439619F"/>
    <w:rsid w:val="445350CD"/>
    <w:rsid w:val="445A2900"/>
    <w:rsid w:val="44627A06"/>
    <w:rsid w:val="4493513F"/>
    <w:rsid w:val="4493688E"/>
    <w:rsid w:val="44B8700F"/>
    <w:rsid w:val="44D32543"/>
    <w:rsid w:val="44E4666D"/>
    <w:rsid w:val="44F001DF"/>
    <w:rsid w:val="45017530"/>
    <w:rsid w:val="45244CBC"/>
    <w:rsid w:val="4530068D"/>
    <w:rsid w:val="45385785"/>
    <w:rsid w:val="453945D6"/>
    <w:rsid w:val="45667082"/>
    <w:rsid w:val="45886FF9"/>
    <w:rsid w:val="45AC0035"/>
    <w:rsid w:val="45CC523B"/>
    <w:rsid w:val="45E32481"/>
    <w:rsid w:val="461A4FBE"/>
    <w:rsid w:val="462A00B0"/>
    <w:rsid w:val="4657670E"/>
    <w:rsid w:val="465A0995"/>
    <w:rsid w:val="465D0485"/>
    <w:rsid w:val="465F5FAB"/>
    <w:rsid w:val="46787397"/>
    <w:rsid w:val="46804174"/>
    <w:rsid w:val="4682613E"/>
    <w:rsid w:val="469D2F78"/>
    <w:rsid w:val="46A37606"/>
    <w:rsid w:val="46AC31BB"/>
    <w:rsid w:val="46C30362"/>
    <w:rsid w:val="46CD0C62"/>
    <w:rsid w:val="46E62229"/>
    <w:rsid w:val="46F04E55"/>
    <w:rsid w:val="46FC37DB"/>
    <w:rsid w:val="4712301E"/>
    <w:rsid w:val="473E5925"/>
    <w:rsid w:val="474B5A20"/>
    <w:rsid w:val="475F35CD"/>
    <w:rsid w:val="476C22A2"/>
    <w:rsid w:val="477C3C98"/>
    <w:rsid w:val="47825966"/>
    <w:rsid w:val="47997CE8"/>
    <w:rsid w:val="47B02837"/>
    <w:rsid w:val="47CF7161"/>
    <w:rsid w:val="47FF4413"/>
    <w:rsid w:val="481638BA"/>
    <w:rsid w:val="482318E8"/>
    <w:rsid w:val="48734682"/>
    <w:rsid w:val="48743864"/>
    <w:rsid w:val="48A61241"/>
    <w:rsid w:val="48A73C3A"/>
    <w:rsid w:val="48BA1BBF"/>
    <w:rsid w:val="48BD16AF"/>
    <w:rsid w:val="48CD117D"/>
    <w:rsid w:val="48CF2140"/>
    <w:rsid w:val="48DA400F"/>
    <w:rsid w:val="48EF4B8D"/>
    <w:rsid w:val="49141B22"/>
    <w:rsid w:val="49403F85"/>
    <w:rsid w:val="4958586B"/>
    <w:rsid w:val="49BF22E2"/>
    <w:rsid w:val="49D62A28"/>
    <w:rsid w:val="4A1470AD"/>
    <w:rsid w:val="4A162E25"/>
    <w:rsid w:val="4A180A44"/>
    <w:rsid w:val="4A301CC2"/>
    <w:rsid w:val="4A331C29"/>
    <w:rsid w:val="4A361E49"/>
    <w:rsid w:val="4A783AE0"/>
    <w:rsid w:val="4A895CED"/>
    <w:rsid w:val="4AA85A47"/>
    <w:rsid w:val="4AAA5C63"/>
    <w:rsid w:val="4ABE526B"/>
    <w:rsid w:val="4ABF2B52"/>
    <w:rsid w:val="4AC34C5C"/>
    <w:rsid w:val="4AD35138"/>
    <w:rsid w:val="4ADC4EA4"/>
    <w:rsid w:val="4B135E7E"/>
    <w:rsid w:val="4B366269"/>
    <w:rsid w:val="4B524331"/>
    <w:rsid w:val="4B614574"/>
    <w:rsid w:val="4B6E6C91"/>
    <w:rsid w:val="4B7E5126"/>
    <w:rsid w:val="4BD034A7"/>
    <w:rsid w:val="4BE60F1D"/>
    <w:rsid w:val="4BF058F8"/>
    <w:rsid w:val="4C285091"/>
    <w:rsid w:val="4C4355DD"/>
    <w:rsid w:val="4C5F57E4"/>
    <w:rsid w:val="4C6836E0"/>
    <w:rsid w:val="4C7C02FE"/>
    <w:rsid w:val="4C9170DB"/>
    <w:rsid w:val="4CA83BB4"/>
    <w:rsid w:val="4CC21042"/>
    <w:rsid w:val="4CC27294"/>
    <w:rsid w:val="4CC307BC"/>
    <w:rsid w:val="4CC90623"/>
    <w:rsid w:val="4CD508FD"/>
    <w:rsid w:val="4D163CAB"/>
    <w:rsid w:val="4D2806DA"/>
    <w:rsid w:val="4D754306"/>
    <w:rsid w:val="4D7F313C"/>
    <w:rsid w:val="4DA90454"/>
    <w:rsid w:val="4E017C8B"/>
    <w:rsid w:val="4E317FA5"/>
    <w:rsid w:val="4E4F4E90"/>
    <w:rsid w:val="4E5A52AA"/>
    <w:rsid w:val="4E676345"/>
    <w:rsid w:val="4E6C3227"/>
    <w:rsid w:val="4E8F764A"/>
    <w:rsid w:val="4EE64D5F"/>
    <w:rsid w:val="4EF20EFD"/>
    <w:rsid w:val="4F0C0C9A"/>
    <w:rsid w:val="4F0C738F"/>
    <w:rsid w:val="4F147B4F"/>
    <w:rsid w:val="4F3F4BCC"/>
    <w:rsid w:val="4F414406"/>
    <w:rsid w:val="4F585B03"/>
    <w:rsid w:val="4F5904BD"/>
    <w:rsid w:val="4F647D63"/>
    <w:rsid w:val="4F76384C"/>
    <w:rsid w:val="4F775B0D"/>
    <w:rsid w:val="4F7C6076"/>
    <w:rsid w:val="4F84235D"/>
    <w:rsid w:val="4F8E5B53"/>
    <w:rsid w:val="4FA91400"/>
    <w:rsid w:val="4FAC6F2A"/>
    <w:rsid w:val="4FC86FBB"/>
    <w:rsid w:val="4FF4746A"/>
    <w:rsid w:val="4FFD741C"/>
    <w:rsid w:val="500E27F0"/>
    <w:rsid w:val="501D198E"/>
    <w:rsid w:val="503672CC"/>
    <w:rsid w:val="504A37B4"/>
    <w:rsid w:val="50772144"/>
    <w:rsid w:val="508F7316"/>
    <w:rsid w:val="50923421"/>
    <w:rsid w:val="50A022A7"/>
    <w:rsid w:val="50AD0C01"/>
    <w:rsid w:val="50F04D13"/>
    <w:rsid w:val="51061421"/>
    <w:rsid w:val="510C6D30"/>
    <w:rsid w:val="51373A1D"/>
    <w:rsid w:val="513A78FA"/>
    <w:rsid w:val="515C37CB"/>
    <w:rsid w:val="516A5588"/>
    <w:rsid w:val="518260BE"/>
    <w:rsid w:val="518965D2"/>
    <w:rsid w:val="519F7BA4"/>
    <w:rsid w:val="51C25640"/>
    <w:rsid w:val="51D52940"/>
    <w:rsid w:val="51F12014"/>
    <w:rsid w:val="51FE5F02"/>
    <w:rsid w:val="520619D1"/>
    <w:rsid w:val="522D03AC"/>
    <w:rsid w:val="523C5624"/>
    <w:rsid w:val="523E73BD"/>
    <w:rsid w:val="52497B10"/>
    <w:rsid w:val="52666F88"/>
    <w:rsid w:val="527B23BF"/>
    <w:rsid w:val="52AB0DAC"/>
    <w:rsid w:val="52AF3E17"/>
    <w:rsid w:val="52CC6FE0"/>
    <w:rsid w:val="52DC6BD6"/>
    <w:rsid w:val="52F932E4"/>
    <w:rsid w:val="52FB3671"/>
    <w:rsid w:val="52FE057D"/>
    <w:rsid w:val="530F17DB"/>
    <w:rsid w:val="530F5C2C"/>
    <w:rsid w:val="531B5950"/>
    <w:rsid w:val="53242F2F"/>
    <w:rsid w:val="53447A02"/>
    <w:rsid w:val="536103F4"/>
    <w:rsid w:val="53895131"/>
    <w:rsid w:val="53924CA9"/>
    <w:rsid w:val="53CB1124"/>
    <w:rsid w:val="54281C72"/>
    <w:rsid w:val="54316F16"/>
    <w:rsid w:val="54596730"/>
    <w:rsid w:val="546155E5"/>
    <w:rsid w:val="546C32D0"/>
    <w:rsid w:val="548060EE"/>
    <w:rsid w:val="549307E2"/>
    <w:rsid w:val="54B43AF1"/>
    <w:rsid w:val="54D73AF9"/>
    <w:rsid w:val="54E73BE4"/>
    <w:rsid w:val="54E87AB4"/>
    <w:rsid w:val="553601AB"/>
    <w:rsid w:val="554E5763"/>
    <w:rsid w:val="555C6861"/>
    <w:rsid w:val="55602D77"/>
    <w:rsid w:val="557D17B4"/>
    <w:rsid w:val="56095F34"/>
    <w:rsid w:val="56270168"/>
    <w:rsid w:val="565A6E77"/>
    <w:rsid w:val="568D446F"/>
    <w:rsid w:val="569157D9"/>
    <w:rsid w:val="56925F29"/>
    <w:rsid w:val="569542EB"/>
    <w:rsid w:val="56BA722E"/>
    <w:rsid w:val="56D57BC4"/>
    <w:rsid w:val="56D95906"/>
    <w:rsid w:val="56E46059"/>
    <w:rsid w:val="56F93BAE"/>
    <w:rsid w:val="57452F9B"/>
    <w:rsid w:val="576F1D4C"/>
    <w:rsid w:val="578D2D75"/>
    <w:rsid w:val="57CC4D78"/>
    <w:rsid w:val="57E427B4"/>
    <w:rsid w:val="57E519DB"/>
    <w:rsid w:val="57EC3417"/>
    <w:rsid w:val="57F624E8"/>
    <w:rsid w:val="58241EF3"/>
    <w:rsid w:val="586236D9"/>
    <w:rsid w:val="58624ECF"/>
    <w:rsid w:val="586963ED"/>
    <w:rsid w:val="58767B37"/>
    <w:rsid w:val="58A34FB3"/>
    <w:rsid w:val="58AB15C3"/>
    <w:rsid w:val="58B6347A"/>
    <w:rsid w:val="58DA1063"/>
    <w:rsid w:val="59034EBC"/>
    <w:rsid w:val="59246BE1"/>
    <w:rsid w:val="592A069B"/>
    <w:rsid w:val="594B5323"/>
    <w:rsid w:val="59CC13CD"/>
    <w:rsid w:val="59D56ED0"/>
    <w:rsid w:val="5A0578F9"/>
    <w:rsid w:val="5A0F3962"/>
    <w:rsid w:val="5A1200DB"/>
    <w:rsid w:val="5A174F76"/>
    <w:rsid w:val="5A184997"/>
    <w:rsid w:val="5A3E052E"/>
    <w:rsid w:val="5A8E2EAB"/>
    <w:rsid w:val="5AB32B59"/>
    <w:rsid w:val="5AB50438"/>
    <w:rsid w:val="5ABE3BC9"/>
    <w:rsid w:val="5ABF4E13"/>
    <w:rsid w:val="5AC05DA1"/>
    <w:rsid w:val="5AD6113A"/>
    <w:rsid w:val="5B4B48F9"/>
    <w:rsid w:val="5BAC183B"/>
    <w:rsid w:val="5BC8419B"/>
    <w:rsid w:val="5BCB77E7"/>
    <w:rsid w:val="5BEB4B9B"/>
    <w:rsid w:val="5BF34CF4"/>
    <w:rsid w:val="5BF6004A"/>
    <w:rsid w:val="5BFC0F33"/>
    <w:rsid w:val="5C0D4457"/>
    <w:rsid w:val="5C1967A5"/>
    <w:rsid w:val="5C7873E2"/>
    <w:rsid w:val="5C7D31D8"/>
    <w:rsid w:val="5C81435D"/>
    <w:rsid w:val="5C87125F"/>
    <w:rsid w:val="5CA50038"/>
    <w:rsid w:val="5CA92850"/>
    <w:rsid w:val="5CE45005"/>
    <w:rsid w:val="5D0B4022"/>
    <w:rsid w:val="5D121B72"/>
    <w:rsid w:val="5D375134"/>
    <w:rsid w:val="5D3935DC"/>
    <w:rsid w:val="5D3D0612"/>
    <w:rsid w:val="5D4C38E7"/>
    <w:rsid w:val="5D5E10EC"/>
    <w:rsid w:val="5D6B3030"/>
    <w:rsid w:val="5D753EAF"/>
    <w:rsid w:val="5D7D72A8"/>
    <w:rsid w:val="5D7E07CE"/>
    <w:rsid w:val="5DA4554F"/>
    <w:rsid w:val="5DAA2610"/>
    <w:rsid w:val="5DC56BE4"/>
    <w:rsid w:val="5DF275B1"/>
    <w:rsid w:val="5E136238"/>
    <w:rsid w:val="5E14191A"/>
    <w:rsid w:val="5E1B2429"/>
    <w:rsid w:val="5E2740C2"/>
    <w:rsid w:val="5E2F0830"/>
    <w:rsid w:val="5E410A57"/>
    <w:rsid w:val="5E767EDE"/>
    <w:rsid w:val="5EC8350B"/>
    <w:rsid w:val="5EC9696D"/>
    <w:rsid w:val="5EF716B5"/>
    <w:rsid w:val="5F061262"/>
    <w:rsid w:val="5F473629"/>
    <w:rsid w:val="5F4B79A1"/>
    <w:rsid w:val="5F5F6BC4"/>
    <w:rsid w:val="5F6B366F"/>
    <w:rsid w:val="5F8A1C1B"/>
    <w:rsid w:val="5F9525E6"/>
    <w:rsid w:val="5F9745B0"/>
    <w:rsid w:val="5FBA6CC0"/>
    <w:rsid w:val="5FDE54BA"/>
    <w:rsid w:val="5FE65C93"/>
    <w:rsid w:val="60350FF5"/>
    <w:rsid w:val="605423C2"/>
    <w:rsid w:val="60885CA7"/>
    <w:rsid w:val="608A26B0"/>
    <w:rsid w:val="60DA0BF8"/>
    <w:rsid w:val="610B0DB2"/>
    <w:rsid w:val="61186D8B"/>
    <w:rsid w:val="612042F6"/>
    <w:rsid w:val="61243C22"/>
    <w:rsid w:val="612E21DB"/>
    <w:rsid w:val="61397AE4"/>
    <w:rsid w:val="613F3EE8"/>
    <w:rsid w:val="614A363A"/>
    <w:rsid w:val="617D17A4"/>
    <w:rsid w:val="619E1C26"/>
    <w:rsid w:val="61D847C8"/>
    <w:rsid w:val="61F05D57"/>
    <w:rsid w:val="61F359F2"/>
    <w:rsid w:val="61F65A66"/>
    <w:rsid w:val="620A4216"/>
    <w:rsid w:val="62654A5D"/>
    <w:rsid w:val="62697DD9"/>
    <w:rsid w:val="626A5FAC"/>
    <w:rsid w:val="626A66F0"/>
    <w:rsid w:val="626E5EB0"/>
    <w:rsid w:val="627A5582"/>
    <w:rsid w:val="62B22353"/>
    <w:rsid w:val="62C7728A"/>
    <w:rsid w:val="62CF061A"/>
    <w:rsid w:val="62D1506A"/>
    <w:rsid w:val="62F47D01"/>
    <w:rsid w:val="630C7132"/>
    <w:rsid w:val="632902C7"/>
    <w:rsid w:val="632E0D88"/>
    <w:rsid w:val="633F63A1"/>
    <w:rsid w:val="634520A2"/>
    <w:rsid w:val="635953F1"/>
    <w:rsid w:val="635C2035"/>
    <w:rsid w:val="637146FA"/>
    <w:rsid w:val="6377539F"/>
    <w:rsid w:val="63A30F39"/>
    <w:rsid w:val="63A979C1"/>
    <w:rsid w:val="63C01BA2"/>
    <w:rsid w:val="63D11DE8"/>
    <w:rsid w:val="63F518A5"/>
    <w:rsid w:val="64047D3A"/>
    <w:rsid w:val="6408782B"/>
    <w:rsid w:val="642D7DF9"/>
    <w:rsid w:val="64656A2B"/>
    <w:rsid w:val="648222B1"/>
    <w:rsid w:val="64C54D74"/>
    <w:rsid w:val="64F810E3"/>
    <w:rsid w:val="64FC750F"/>
    <w:rsid w:val="6509385A"/>
    <w:rsid w:val="651755AE"/>
    <w:rsid w:val="651D5558"/>
    <w:rsid w:val="65336B29"/>
    <w:rsid w:val="65583637"/>
    <w:rsid w:val="657F58CB"/>
    <w:rsid w:val="659F72AD"/>
    <w:rsid w:val="65A6554D"/>
    <w:rsid w:val="65BA4B55"/>
    <w:rsid w:val="65D7505D"/>
    <w:rsid w:val="65DC4ACB"/>
    <w:rsid w:val="65EA1853"/>
    <w:rsid w:val="65F17A91"/>
    <w:rsid w:val="65F86A28"/>
    <w:rsid w:val="66106192"/>
    <w:rsid w:val="66141D57"/>
    <w:rsid w:val="66236B9E"/>
    <w:rsid w:val="66346B47"/>
    <w:rsid w:val="6660394E"/>
    <w:rsid w:val="666F3994"/>
    <w:rsid w:val="66703465"/>
    <w:rsid w:val="66805D9E"/>
    <w:rsid w:val="66824031"/>
    <w:rsid w:val="66CD6B09"/>
    <w:rsid w:val="66D47E98"/>
    <w:rsid w:val="66D863DF"/>
    <w:rsid w:val="66DE0843"/>
    <w:rsid w:val="66DE2AC5"/>
    <w:rsid w:val="670047E9"/>
    <w:rsid w:val="67024A05"/>
    <w:rsid w:val="671415F5"/>
    <w:rsid w:val="67245E43"/>
    <w:rsid w:val="672E4146"/>
    <w:rsid w:val="673E0AE7"/>
    <w:rsid w:val="673F4CC4"/>
    <w:rsid w:val="674768BC"/>
    <w:rsid w:val="67656598"/>
    <w:rsid w:val="67C73559"/>
    <w:rsid w:val="67C779FD"/>
    <w:rsid w:val="67EA2859"/>
    <w:rsid w:val="68321B4D"/>
    <w:rsid w:val="684B418A"/>
    <w:rsid w:val="68BE495C"/>
    <w:rsid w:val="68D128E1"/>
    <w:rsid w:val="68EE08A5"/>
    <w:rsid w:val="68F55EA4"/>
    <w:rsid w:val="68FA6C3D"/>
    <w:rsid w:val="691722BE"/>
    <w:rsid w:val="691E68CF"/>
    <w:rsid w:val="6942586B"/>
    <w:rsid w:val="69643755"/>
    <w:rsid w:val="69A00505"/>
    <w:rsid w:val="69C2222A"/>
    <w:rsid w:val="69E04E60"/>
    <w:rsid w:val="6A107439"/>
    <w:rsid w:val="6A14410C"/>
    <w:rsid w:val="6A3820D9"/>
    <w:rsid w:val="6A440E91"/>
    <w:rsid w:val="6A554E4C"/>
    <w:rsid w:val="6A5C5DFB"/>
    <w:rsid w:val="6A7A6FA8"/>
    <w:rsid w:val="6A7D43A3"/>
    <w:rsid w:val="6A837C0B"/>
    <w:rsid w:val="6AA03695"/>
    <w:rsid w:val="6AAC5C88"/>
    <w:rsid w:val="6AB2229E"/>
    <w:rsid w:val="6ACE4BFE"/>
    <w:rsid w:val="6AF24D91"/>
    <w:rsid w:val="6AF74155"/>
    <w:rsid w:val="6B337ADD"/>
    <w:rsid w:val="6B405AFC"/>
    <w:rsid w:val="6B7D0AFE"/>
    <w:rsid w:val="6B9F6960"/>
    <w:rsid w:val="6BB42046"/>
    <w:rsid w:val="6BB80B1D"/>
    <w:rsid w:val="6BF30FAD"/>
    <w:rsid w:val="6BF41E07"/>
    <w:rsid w:val="6C2F1FA9"/>
    <w:rsid w:val="6C3E0FF7"/>
    <w:rsid w:val="6C406AD0"/>
    <w:rsid w:val="6C641928"/>
    <w:rsid w:val="6C937EAD"/>
    <w:rsid w:val="6C9C3206"/>
    <w:rsid w:val="6CC22541"/>
    <w:rsid w:val="6CC56897"/>
    <w:rsid w:val="6CDC482D"/>
    <w:rsid w:val="6CF928A8"/>
    <w:rsid w:val="6D01298A"/>
    <w:rsid w:val="6D231231"/>
    <w:rsid w:val="6D2A0812"/>
    <w:rsid w:val="6D3808FF"/>
    <w:rsid w:val="6D3B47CD"/>
    <w:rsid w:val="6D4348C6"/>
    <w:rsid w:val="6D455E49"/>
    <w:rsid w:val="6D4F2CE1"/>
    <w:rsid w:val="6D5600EE"/>
    <w:rsid w:val="6D80480A"/>
    <w:rsid w:val="6D940381"/>
    <w:rsid w:val="6D9613F0"/>
    <w:rsid w:val="6D9F6041"/>
    <w:rsid w:val="6DBF603E"/>
    <w:rsid w:val="6DDF271A"/>
    <w:rsid w:val="6DE60E5A"/>
    <w:rsid w:val="6DF36EBB"/>
    <w:rsid w:val="6DF616C2"/>
    <w:rsid w:val="6DFF1C9E"/>
    <w:rsid w:val="6E0120D9"/>
    <w:rsid w:val="6E1C5C80"/>
    <w:rsid w:val="6E245261"/>
    <w:rsid w:val="6E2C24ED"/>
    <w:rsid w:val="6E4312FE"/>
    <w:rsid w:val="6E46228D"/>
    <w:rsid w:val="6E485683"/>
    <w:rsid w:val="6E5B52BA"/>
    <w:rsid w:val="6F0118FB"/>
    <w:rsid w:val="6F1055D4"/>
    <w:rsid w:val="6F427669"/>
    <w:rsid w:val="6F6C3363"/>
    <w:rsid w:val="6FC039C1"/>
    <w:rsid w:val="6FCA6433"/>
    <w:rsid w:val="6FD4200F"/>
    <w:rsid w:val="6FE50A20"/>
    <w:rsid w:val="70052E70"/>
    <w:rsid w:val="70076B11"/>
    <w:rsid w:val="70390D6C"/>
    <w:rsid w:val="70671D7D"/>
    <w:rsid w:val="70786C79"/>
    <w:rsid w:val="70902FD8"/>
    <w:rsid w:val="709A3C76"/>
    <w:rsid w:val="70BB16AE"/>
    <w:rsid w:val="70E11BD6"/>
    <w:rsid w:val="70E77FCC"/>
    <w:rsid w:val="70EB4C1F"/>
    <w:rsid w:val="71161F56"/>
    <w:rsid w:val="711C07DB"/>
    <w:rsid w:val="71243A58"/>
    <w:rsid w:val="71467FFD"/>
    <w:rsid w:val="714C02A0"/>
    <w:rsid w:val="71641051"/>
    <w:rsid w:val="717C53B4"/>
    <w:rsid w:val="71810C1C"/>
    <w:rsid w:val="71B92164"/>
    <w:rsid w:val="71BC1C54"/>
    <w:rsid w:val="71C823A7"/>
    <w:rsid w:val="71CE34A0"/>
    <w:rsid w:val="71CE3E14"/>
    <w:rsid w:val="71D55CAE"/>
    <w:rsid w:val="71EB4CBE"/>
    <w:rsid w:val="7218283A"/>
    <w:rsid w:val="72197A00"/>
    <w:rsid w:val="721E646B"/>
    <w:rsid w:val="722241AD"/>
    <w:rsid w:val="72251A77"/>
    <w:rsid w:val="72275320"/>
    <w:rsid w:val="72655E48"/>
    <w:rsid w:val="72672C7D"/>
    <w:rsid w:val="729C3F60"/>
    <w:rsid w:val="72B1108D"/>
    <w:rsid w:val="72F22E60"/>
    <w:rsid w:val="73114C78"/>
    <w:rsid w:val="73117578"/>
    <w:rsid w:val="733028FA"/>
    <w:rsid w:val="73353A6C"/>
    <w:rsid w:val="73426189"/>
    <w:rsid w:val="734700A5"/>
    <w:rsid w:val="73610D05"/>
    <w:rsid w:val="73613DC2"/>
    <w:rsid w:val="7373007C"/>
    <w:rsid w:val="737B331C"/>
    <w:rsid w:val="737D60E3"/>
    <w:rsid w:val="738B5D82"/>
    <w:rsid w:val="73962B79"/>
    <w:rsid w:val="7399224D"/>
    <w:rsid w:val="73A11A98"/>
    <w:rsid w:val="73C60B68"/>
    <w:rsid w:val="73E334C8"/>
    <w:rsid w:val="73E83A3D"/>
    <w:rsid w:val="73E85B1C"/>
    <w:rsid w:val="73F751C6"/>
    <w:rsid w:val="744F11C7"/>
    <w:rsid w:val="745748D1"/>
    <w:rsid w:val="74790C94"/>
    <w:rsid w:val="74806F69"/>
    <w:rsid w:val="74B055E6"/>
    <w:rsid w:val="74B254D6"/>
    <w:rsid w:val="74D25D16"/>
    <w:rsid w:val="74E042F3"/>
    <w:rsid w:val="751A73BE"/>
    <w:rsid w:val="7530161A"/>
    <w:rsid w:val="75350DD9"/>
    <w:rsid w:val="7540568E"/>
    <w:rsid w:val="7544443B"/>
    <w:rsid w:val="75470253"/>
    <w:rsid w:val="757C2E60"/>
    <w:rsid w:val="7583335F"/>
    <w:rsid w:val="75847EB1"/>
    <w:rsid w:val="75AD3D8E"/>
    <w:rsid w:val="75DA7E51"/>
    <w:rsid w:val="760234D2"/>
    <w:rsid w:val="7621652A"/>
    <w:rsid w:val="763A7817"/>
    <w:rsid w:val="768E1E11"/>
    <w:rsid w:val="76953A62"/>
    <w:rsid w:val="76B33626"/>
    <w:rsid w:val="76C43C71"/>
    <w:rsid w:val="76DB2B7D"/>
    <w:rsid w:val="76DB6AFC"/>
    <w:rsid w:val="76FF686B"/>
    <w:rsid w:val="771E7F18"/>
    <w:rsid w:val="778B36D7"/>
    <w:rsid w:val="779E699A"/>
    <w:rsid w:val="77B2541F"/>
    <w:rsid w:val="77FC2DAB"/>
    <w:rsid w:val="780B1240"/>
    <w:rsid w:val="781520BE"/>
    <w:rsid w:val="782647F7"/>
    <w:rsid w:val="786453D8"/>
    <w:rsid w:val="7870586D"/>
    <w:rsid w:val="7874504A"/>
    <w:rsid w:val="788A6608"/>
    <w:rsid w:val="78AA7E77"/>
    <w:rsid w:val="78CC665D"/>
    <w:rsid w:val="78D23D5F"/>
    <w:rsid w:val="78E42141"/>
    <w:rsid w:val="78F62113"/>
    <w:rsid w:val="791906D8"/>
    <w:rsid w:val="792C3B64"/>
    <w:rsid w:val="794A5E28"/>
    <w:rsid w:val="796D368B"/>
    <w:rsid w:val="79825331"/>
    <w:rsid w:val="79960FDD"/>
    <w:rsid w:val="79A715B3"/>
    <w:rsid w:val="79BA7FB2"/>
    <w:rsid w:val="79E03564"/>
    <w:rsid w:val="79E461EC"/>
    <w:rsid w:val="7A1C14E2"/>
    <w:rsid w:val="7A262361"/>
    <w:rsid w:val="7A2F56B9"/>
    <w:rsid w:val="7A837932"/>
    <w:rsid w:val="7ABA2F70"/>
    <w:rsid w:val="7ABB6F4D"/>
    <w:rsid w:val="7AD26045"/>
    <w:rsid w:val="7B1B5C45"/>
    <w:rsid w:val="7B256ABC"/>
    <w:rsid w:val="7B2965AD"/>
    <w:rsid w:val="7B4C2625"/>
    <w:rsid w:val="7B6475E5"/>
    <w:rsid w:val="7B7979D7"/>
    <w:rsid w:val="7B9514FA"/>
    <w:rsid w:val="7BA06143"/>
    <w:rsid w:val="7BB340C8"/>
    <w:rsid w:val="7BC94686"/>
    <w:rsid w:val="7BD5403F"/>
    <w:rsid w:val="7C0A1723"/>
    <w:rsid w:val="7C183F2B"/>
    <w:rsid w:val="7C346BC6"/>
    <w:rsid w:val="7C39595C"/>
    <w:rsid w:val="7C4D0A64"/>
    <w:rsid w:val="7C735625"/>
    <w:rsid w:val="7C8141C6"/>
    <w:rsid w:val="7C903E38"/>
    <w:rsid w:val="7C923CDE"/>
    <w:rsid w:val="7CA37F1D"/>
    <w:rsid w:val="7CC77E2B"/>
    <w:rsid w:val="7CEF35A8"/>
    <w:rsid w:val="7D446B78"/>
    <w:rsid w:val="7D4A7AD1"/>
    <w:rsid w:val="7D78546C"/>
    <w:rsid w:val="7D87580C"/>
    <w:rsid w:val="7DA37BA4"/>
    <w:rsid w:val="7DB879AC"/>
    <w:rsid w:val="7DC56212"/>
    <w:rsid w:val="7DE315A6"/>
    <w:rsid w:val="7DFF35F5"/>
    <w:rsid w:val="7E0D5D12"/>
    <w:rsid w:val="7E1370A0"/>
    <w:rsid w:val="7E1D1694"/>
    <w:rsid w:val="7E1D3A7B"/>
    <w:rsid w:val="7E447259"/>
    <w:rsid w:val="7E490D14"/>
    <w:rsid w:val="7E525E1A"/>
    <w:rsid w:val="7E564C63"/>
    <w:rsid w:val="7E6E0173"/>
    <w:rsid w:val="7E9755DB"/>
    <w:rsid w:val="7E9F26E2"/>
    <w:rsid w:val="7EEF5417"/>
    <w:rsid w:val="7F1271C2"/>
    <w:rsid w:val="7F231565"/>
    <w:rsid w:val="7F4504C8"/>
    <w:rsid w:val="7F4A58FD"/>
    <w:rsid w:val="7F567244"/>
    <w:rsid w:val="7F7F3672"/>
    <w:rsid w:val="7F857923"/>
    <w:rsid w:val="7FA224A6"/>
    <w:rsid w:val="7FA579D3"/>
    <w:rsid w:val="7FD10FC1"/>
    <w:rsid w:val="7FDF548C"/>
    <w:rsid w:val="7FFC7D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3"/>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7">
    <w:name w:val="Document Map"/>
    <w:basedOn w:val="1"/>
    <w:link w:val="58"/>
    <w:semiHidden/>
    <w:unhideWhenUsed/>
    <w:qFormat/>
    <w:uiPriority w:val="99"/>
    <w:rPr>
      <w:rFonts w:ascii="宋体"/>
      <w:sz w:val="18"/>
      <w:szCs w:val="18"/>
    </w:rPr>
  </w:style>
  <w:style w:type="paragraph" w:styleId="8">
    <w:name w:val="annotation text"/>
    <w:basedOn w:val="1"/>
    <w:link w:val="49"/>
    <w:semiHidden/>
    <w:unhideWhenUsed/>
    <w:qFormat/>
    <w:uiPriority w:val="99"/>
    <w:pPr>
      <w:jc w:val="left"/>
    </w:pPr>
    <w:rPr>
      <w:rFonts w:asciiTheme="minorHAnsi" w:hAnsiTheme="minorHAnsi" w:eastAsiaTheme="minorEastAsia" w:cstheme="minorBidi"/>
      <w:szCs w:val="22"/>
    </w:rPr>
  </w:style>
  <w:style w:type="paragraph" w:styleId="9">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0">
    <w:name w:val="toc 3"/>
    <w:basedOn w:val="1"/>
    <w:next w:val="1"/>
    <w:unhideWhenUsed/>
    <w:qFormat/>
    <w:uiPriority w:val="39"/>
    <w:pPr>
      <w:tabs>
        <w:tab w:val="right" w:leader="dot" w:pos="8296"/>
      </w:tabs>
      <w:ind w:left="630" w:leftChars="300"/>
    </w:pPr>
  </w:style>
  <w:style w:type="paragraph" w:styleId="11">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2">
    <w:name w:val="Date"/>
    <w:basedOn w:val="1"/>
    <w:next w:val="1"/>
    <w:link w:val="54"/>
    <w:semiHidden/>
    <w:unhideWhenUsed/>
    <w:qFormat/>
    <w:uiPriority w:val="99"/>
    <w:pPr>
      <w:ind w:left="100" w:leftChars="2500"/>
    </w:pPr>
    <w:rPr>
      <w:rFonts w:asciiTheme="minorHAnsi" w:hAnsiTheme="minorHAnsi" w:eastAsiaTheme="minorEastAsia" w:cstheme="minorBidi"/>
      <w:szCs w:val="22"/>
    </w:rPr>
  </w:style>
  <w:style w:type="paragraph" w:styleId="13">
    <w:name w:val="Balloon Text"/>
    <w:basedOn w:val="1"/>
    <w:link w:val="56"/>
    <w:semiHidden/>
    <w:unhideWhenUsed/>
    <w:qFormat/>
    <w:uiPriority w:val="99"/>
    <w:rPr>
      <w:sz w:val="18"/>
      <w:szCs w:val="18"/>
    </w:rPr>
  </w:style>
  <w:style w:type="paragraph" w:styleId="14">
    <w:name w:val="footer"/>
    <w:basedOn w:val="1"/>
    <w:link w:val="48"/>
    <w:unhideWhenUsed/>
    <w:qFormat/>
    <w:uiPriority w:val="99"/>
    <w:pPr>
      <w:tabs>
        <w:tab w:val="center" w:pos="4153"/>
        <w:tab w:val="right" w:pos="8306"/>
      </w:tabs>
      <w:snapToGrid w:val="0"/>
      <w:jc w:val="left"/>
    </w:pPr>
    <w:rPr>
      <w:sz w:val="18"/>
      <w:szCs w:val="18"/>
    </w:rPr>
  </w:style>
  <w:style w:type="paragraph" w:styleId="15">
    <w:name w:val="header"/>
    <w:basedOn w:val="1"/>
    <w:link w:val="34"/>
    <w:qFormat/>
    <w:uiPriority w:val="0"/>
    <w:pPr>
      <w:snapToGrid w:val="0"/>
      <w:jc w:val="left"/>
    </w:pPr>
    <w:rPr>
      <w:sz w:val="18"/>
      <w:szCs w:val="18"/>
    </w:rPr>
  </w:style>
  <w:style w:type="paragraph" w:styleId="16">
    <w:name w:val="toc 1"/>
    <w:basedOn w:val="1"/>
    <w:next w:val="1"/>
    <w:qFormat/>
    <w:uiPriority w:val="39"/>
    <w:pPr>
      <w:tabs>
        <w:tab w:val="right" w:leader="dot" w:pos="9241"/>
      </w:tabs>
      <w:spacing w:beforeLines="25" w:afterLines="25"/>
      <w:jc w:val="left"/>
    </w:pPr>
    <w:rPr>
      <w:rFonts w:ascii="宋体"/>
      <w:szCs w:val="21"/>
    </w:rPr>
  </w:style>
  <w:style w:type="paragraph" w:styleId="17">
    <w:name w:val="toc 4"/>
    <w:basedOn w:val="1"/>
    <w:next w:val="1"/>
    <w:unhideWhenUsed/>
    <w:qFormat/>
    <w:uiPriority w:val="39"/>
    <w:pPr>
      <w:ind w:left="1260" w:leftChars="600"/>
    </w:pPr>
  </w:style>
  <w:style w:type="paragraph" w:styleId="18">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19">
    <w:name w:val="toc 2"/>
    <w:basedOn w:val="1"/>
    <w:next w:val="1"/>
    <w:qFormat/>
    <w:uiPriority w:val="39"/>
    <w:pPr>
      <w:tabs>
        <w:tab w:val="right" w:leader="dot" w:pos="9241"/>
      </w:tabs>
    </w:pPr>
    <w:rPr>
      <w:rFonts w:ascii="宋体"/>
      <w:szCs w:val="21"/>
    </w:rPr>
  </w:style>
  <w:style w:type="paragraph" w:styleId="20">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1">
    <w:name w:val="HTML Preformatted"/>
    <w:basedOn w:val="1"/>
    <w:link w:val="36"/>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2">
    <w:name w:val="Normal (Web)"/>
    <w:basedOn w:val="1"/>
    <w:qFormat/>
    <w:uiPriority w:val="99"/>
    <w:pPr>
      <w:spacing w:beforeAutospacing="1" w:afterAutospacing="1"/>
      <w:jc w:val="left"/>
    </w:pPr>
    <w:rPr>
      <w:kern w:val="0"/>
      <w:sz w:val="24"/>
    </w:rPr>
  </w:style>
  <w:style w:type="paragraph" w:styleId="23">
    <w:name w:val="annotation subject"/>
    <w:basedOn w:val="8"/>
    <w:next w:val="8"/>
    <w:link w:val="52"/>
    <w:semiHidden/>
    <w:unhideWhenUsed/>
    <w:qFormat/>
    <w:uiPriority w:val="99"/>
    <w:rPr>
      <w:b/>
      <w:bCs/>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page number"/>
    <w:basedOn w:val="26"/>
    <w:qFormat/>
    <w:uiPriority w:val="0"/>
  </w:style>
  <w:style w:type="character" w:styleId="28">
    <w:name w:val="Hyperlink"/>
    <w:qFormat/>
    <w:uiPriority w:val="99"/>
    <w:rPr>
      <w:color w:val="0000FF"/>
      <w:spacing w:val="0"/>
      <w:w w:val="100"/>
      <w:szCs w:val="21"/>
      <w:u w:val="single"/>
      <w:lang w:val="en-US" w:eastAsia="zh-CN"/>
    </w:rPr>
  </w:style>
  <w:style w:type="character" w:styleId="29">
    <w:name w:val="annotation reference"/>
    <w:basedOn w:val="26"/>
    <w:semiHidden/>
    <w:unhideWhenUsed/>
    <w:qFormat/>
    <w:uiPriority w:val="99"/>
    <w:rPr>
      <w:sz w:val="21"/>
      <w:szCs w:val="21"/>
    </w:rPr>
  </w:style>
  <w:style w:type="character" w:customStyle="1" w:styleId="30">
    <w:name w:val="标题 3 Char"/>
    <w:basedOn w:val="26"/>
    <w:link w:val="4"/>
    <w:semiHidden/>
    <w:qFormat/>
    <w:uiPriority w:val="9"/>
    <w:rPr>
      <w:rFonts w:ascii="Times New Roman" w:hAnsi="Times New Roman" w:eastAsia="宋体" w:cs="Times New Roman"/>
      <w:b/>
      <w:bCs/>
      <w:sz w:val="32"/>
      <w:szCs w:val="32"/>
    </w:rPr>
  </w:style>
  <w:style w:type="character" w:customStyle="1" w:styleId="31">
    <w:name w:val="标题 2 Char"/>
    <w:basedOn w:val="26"/>
    <w:link w:val="3"/>
    <w:semiHidden/>
    <w:qFormat/>
    <w:uiPriority w:val="9"/>
    <w:rPr>
      <w:rFonts w:asciiTheme="majorHAnsi" w:hAnsiTheme="majorHAnsi" w:eastAsiaTheme="majorEastAsia" w:cstheme="majorBidi"/>
      <w:b/>
      <w:bCs/>
      <w:sz w:val="32"/>
      <w:szCs w:val="32"/>
    </w:rPr>
  </w:style>
  <w:style w:type="character" w:customStyle="1" w:styleId="32">
    <w:name w:val="标题 1 Char"/>
    <w:basedOn w:val="26"/>
    <w:link w:val="2"/>
    <w:qFormat/>
    <w:uiPriority w:val="9"/>
    <w:rPr>
      <w:rFonts w:ascii="Times New Roman" w:hAnsi="Times New Roman" w:eastAsia="宋体" w:cs="Times New Roman"/>
      <w:b/>
      <w:bCs/>
      <w:kern w:val="44"/>
      <w:sz w:val="44"/>
      <w:szCs w:val="44"/>
    </w:rPr>
  </w:style>
  <w:style w:type="character" w:customStyle="1" w:styleId="33">
    <w:name w:val="标题 4 Char"/>
    <w:basedOn w:val="26"/>
    <w:link w:val="5"/>
    <w:semiHidden/>
    <w:qFormat/>
    <w:uiPriority w:val="9"/>
    <w:rPr>
      <w:rFonts w:asciiTheme="majorHAnsi" w:hAnsiTheme="majorHAnsi" w:eastAsiaTheme="majorEastAsia" w:cstheme="majorBidi"/>
      <w:b/>
      <w:bCs/>
      <w:sz w:val="28"/>
      <w:szCs w:val="28"/>
    </w:rPr>
  </w:style>
  <w:style w:type="character" w:customStyle="1" w:styleId="34">
    <w:name w:val="页眉 Char"/>
    <w:basedOn w:val="26"/>
    <w:link w:val="15"/>
    <w:qFormat/>
    <w:uiPriority w:val="0"/>
    <w:rPr>
      <w:rFonts w:ascii="Times New Roman" w:hAnsi="Times New Roman" w:eastAsia="宋体" w:cs="Times New Roman"/>
      <w:sz w:val="18"/>
      <w:szCs w:val="18"/>
    </w:rPr>
  </w:style>
  <w:style w:type="paragraph" w:customStyle="1" w:styleId="35">
    <w:name w:val="段"/>
    <w:link w:val="37"/>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36">
    <w:name w:val="HTML 预设格式 Char"/>
    <w:basedOn w:val="26"/>
    <w:link w:val="21"/>
    <w:qFormat/>
    <w:uiPriority w:val="99"/>
    <w:rPr>
      <w:rFonts w:ascii="宋体" w:hAnsi="宋体" w:eastAsia="宋体" w:cs="宋体"/>
      <w:kern w:val="0"/>
      <w:sz w:val="24"/>
      <w:szCs w:val="24"/>
    </w:rPr>
  </w:style>
  <w:style w:type="character" w:customStyle="1" w:styleId="37">
    <w:name w:val="段 Char"/>
    <w:link w:val="35"/>
    <w:qFormat/>
    <w:uiPriority w:val="0"/>
    <w:rPr>
      <w:rFonts w:ascii="宋体" w:hAnsi="Times New Roman" w:eastAsia="宋体" w:cs="Times New Roman"/>
      <w:kern w:val="0"/>
      <w:szCs w:val="20"/>
    </w:rPr>
  </w:style>
  <w:style w:type="paragraph" w:customStyle="1" w:styleId="38">
    <w:name w:val="样式1"/>
    <w:basedOn w:val="2"/>
    <w:qFormat/>
    <w:uiPriority w:val="0"/>
    <w:pPr>
      <w:spacing w:beforeLines="50" w:afterLines="50" w:line="288" w:lineRule="auto"/>
    </w:pPr>
    <w:rPr>
      <w:sz w:val="24"/>
    </w:rPr>
  </w:style>
  <w:style w:type="paragraph" w:customStyle="1" w:styleId="39">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40">
    <w:name w:val="样式2"/>
    <w:basedOn w:val="3"/>
    <w:link w:val="45"/>
    <w:qFormat/>
    <w:uiPriority w:val="0"/>
    <w:pPr>
      <w:spacing w:beforeLines="50" w:afterLines="50" w:line="288" w:lineRule="auto"/>
    </w:pPr>
    <w:rPr>
      <w:rFonts w:eastAsia="宋体"/>
      <w:sz w:val="21"/>
    </w:rPr>
  </w:style>
  <w:style w:type="paragraph" w:customStyle="1" w:styleId="41">
    <w:name w:val="大标题"/>
    <w:basedOn w:val="1"/>
    <w:qFormat/>
    <w:uiPriority w:val="99"/>
    <w:pPr>
      <w:tabs>
        <w:tab w:val="left" w:pos="5220"/>
      </w:tabs>
      <w:adjustRightInd w:val="0"/>
      <w:snapToGrid w:val="0"/>
      <w:spacing w:beforeLines="200" w:afterLines="200"/>
      <w:jc w:val="center"/>
      <w:textAlignment w:val="center"/>
    </w:pPr>
    <w:rPr>
      <w:rFonts w:ascii="Arial" w:hAnsi="Arial" w:eastAsia="黑体"/>
      <w:sz w:val="32"/>
      <w:szCs w:val="20"/>
    </w:rPr>
  </w:style>
  <w:style w:type="paragraph" w:customStyle="1" w:styleId="42">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paragraph" w:customStyle="1" w:styleId="43">
    <w:name w:val="样式3"/>
    <w:basedOn w:val="4"/>
    <w:next w:val="1"/>
    <w:link w:val="46"/>
    <w:qFormat/>
    <w:uiPriority w:val="0"/>
    <w:pPr>
      <w:spacing w:before="100" w:beforeAutospacing="1" w:after="100" w:afterAutospacing="1" w:line="415" w:lineRule="auto"/>
    </w:pPr>
    <w:rPr>
      <w:rFonts w:cstheme="minorBidi"/>
      <w:sz w:val="23"/>
      <w:szCs w:val="23"/>
    </w:rPr>
  </w:style>
  <w:style w:type="paragraph" w:customStyle="1" w:styleId="44">
    <w:name w:val="样式4"/>
    <w:basedOn w:val="5"/>
    <w:link w:val="47"/>
    <w:qFormat/>
    <w:uiPriority w:val="0"/>
    <w:pPr>
      <w:keepNext w:val="0"/>
      <w:spacing w:before="100" w:beforeAutospacing="1" w:after="100" w:afterAutospacing="1" w:line="360" w:lineRule="auto"/>
    </w:pPr>
    <w:rPr>
      <w:rFonts w:eastAsia="宋体"/>
      <w:sz w:val="23"/>
    </w:rPr>
  </w:style>
  <w:style w:type="character" w:customStyle="1" w:styleId="45">
    <w:name w:val="样式2 字符"/>
    <w:basedOn w:val="31"/>
    <w:link w:val="40"/>
    <w:qFormat/>
    <w:uiPriority w:val="0"/>
    <w:rPr>
      <w:rFonts w:eastAsia="宋体" w:asciiTheme="majorHAnsi" w:hAnsiTheme="majorHAnsi" w:cstheme="majorBidi"/>
      <w:sz w:val="32"/>
      <w:szCs w:val="32"/>
    </w:rPr>
  </w:style>
  <w:style w:type="character" w:customStyle="1" w:styleId="46">
    <w:name w:val="样式3 字符"/>
    <w:basedOn w:val="45"/>
    <w:link w:val="43"/>
    <w:qFormat/>
    <w:uiPriority w:val="0"/>
    <w:rPr>
      <w:rFonts w:ascii="Times New Roman" w:hAnsi="Times New Roman" w:eastAsia="宋体" w:cstheme="majorBidi"/>
      <w:sz w:val="23"/>
      <w:szCs w:val="23"/>
    </w:rPr>
  </w:style>
  <w:style w:type="character" w:customStyle="1" w:styleId="47">
    <w:name w:val="样式4 字符"/>
    <w:basedOn w:val="33"/>
    <w:link w:val="44"/>
    <w:qFormat/>
    <w:uiPriority w:val="0"/>
    <w:rPr>
      <w:rFonts w:eastAsia="宋体" w:asciiTheme="majorHAnsi" w:hAnsiTheme="majorHAnsi" w:cstheme="majorBidi"/>
      <w:sz w:val="23"/>
      <w:szCs w:val="28"/>
    </w:rPr>
  </w:style>
  <w:style w:type="character" w:customStyle="1" w:styleId="48">
    <w:name w:val="页脚 Char"/>
    <w:basedOn w:val="26"/>
    <w:link w:val="14"/>
    <w:qFormat/>
    <w:uiPriority w:val="99"/>
    <w:rPr>
      <w:rFonts w:ascii="Times New Roman" w:hAnsi="Times New Roman" w:eastAsia="宋体" w:cs="Times New Roman"/>
      <w:sz w:val="18"/>
      <w:szCs w:val="18"/>
    </w:rPr>
  </w:style>
  <w:style w:type="character" w:customStyle="1" w:styleId="49">
    <w:name w:val="批注文字 Char"/>
    <w:basedOn w:val="26"/>
    <w:link w:val="8"/>
    <w:semiHidden/>
    <w:qFormat/>
    <w:uiPriority w:val="99"/>
  </w:style>
  <w:style w:type="paragraph" w:customStyle="1" w:styleId="50">
    <w:name w:val="二级条标题"/>
    <w:basedOn w:val="1"/>
    <w:next w:val="1"/>
    <w:qFormat/>
    <w:uiPriority w:val="0"/>
    <w:pPr>
      <w:widowControl/>
      <w:spacing w:beforeLines="50"/>
      <w:jc w:val="left"/>
      <w:outlineLvl w:val="3"/>
    </w:pPr>
    <w:rPr>
      <w:rFonts w:ascii="黑体" w:eastAsia="黑体"/>
      <w:kern w:val="0"/>
      <w:szCs w:val="21"/>
    </w:rPr>
  </w:style>
  <w:style w:type="paragraph" w:styleId="51">
    <w:name w:val="List Paragraph"/>
    <w:basedOn w:val="1"/>
    <w:qFormat/>
    <w:uiPriority w:val="34"/>
    <w:pPr>
      <w:ind w:firstLine="420" w:firstLineChars="200"/>
    </w:pPr>
  </w:style>
  <w:style w:type="character" w:customStyle="1" w:styleId="52">
    <w:name w:val="批注主题 Char"/>
    <w:basedOn w:val="49"/>
    <w:link w:val="23"/>
    <w:semiHidden/>
    <w:qFormat/>
    <w:uiPriority w:val="99"/>
    <w:rPr>
      <w:b/>
      <w:bCs/>
    </w:rPr>
  </w:style>
  <w:style w:type="paragraph" w:customStyle="1" w:styleId="53">
    <w:name w:val="标准表题"/>
    <w:basedOn w:val="1"/>
    <w:next w:val="35"/>
    <w:qFormat/>
    <w:uiPriority w:val="0"/>
    <w:pPr>
      <w:widowControl/>
      <w:jc w:val="center"/>
    </w:pPr>
    <w:rPr>
      <w:rFonts w:ascii="黑体" w:eastAsia="黑体"/>
      <w:kern w:val="21"/>
      <w:szCs w:val="20"/>
    </w:rPr>
  </w:style>
  <w:style w:type="character" w:customStyle="1" w:styleId="54">
    <w:name w:val="日期 Char"/>
    <w:basedOn w:val="26"/>
    <w:link w:val="12"/>
    <w:semiHidden/>
    <w:qFormat/>
    <w:uiPriority w:val="99"/>
  </w:style>
  <w:style w:type="paragraph" w:customStyle="1" w:styleId="5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5" w:themeColor="accent1" w:themeShade="BF"/>
      <w:kern w:val="0"/>
      <w:sz w:val="32"/>
      <w:szCs w:val="32"/>
    </w:rPr>
  </w:style>
  <w:style w:type="character" w:customStyle="1" w:styleId="56">
    <w:name w:val="批注框文本 Char"/>
    <w:basedOn w:val="26"/>
    <w:link w:val="13"/>
    <w:semiHidden/>
    <w:qFormat/>
    <w:uiPriority w:val="99"/>
    <w:rPr>
      <w:rFonts w:ascii="Times New Roman" w:hAnsi="Times New Roman" w:eastAsia="宋体" w:cs="Times New Roman"/>
      <w:sz w:val="18"/>
      <w:szCs w:val="18"/>
    </w:rPr>
  </w:style>
  <w:style w:type="character" w:customStyle="1" w:styleId="57">
    <w:name w:val="段 Char Char"/>
    <w:qFormat/>
    <w:locked/>
    <w:uiPriority w:val="99"/>
    <w:rPr>
      <w:rFonts w:ascii="宋体" w:hAnsi="Calibri" w:cs="宋体"/>
      <w:szCs w:val="21"/>
    </w:rPr>
  </w:style>
  <w:style w:type="character" w:customStyle="1" w:styleId="58">
    <w:name w:val="文档结构图 Char"/>
    <w:basedOn w:val="26"/>
    <w:link w:val="7"/>
    <w:semiHidden/>
    <w:qFormat/>
    <w:uiPriority w:val="99"/>
    <w:rPr>
      <w:rFonts w:ascii="宋体" w:hAnsi="Times New Roman" w:eastAsia="宋体" w:cs="Times New Roman"/>
      <w:sz w:val="18"/>
      <w:szCs w:val="18"/>
    </w:rPr>
  </w:style>
  <w:style w:type="paragraph" w:customStyle="1" w:styleId="59">
    <w:name w:val="WPSOffice手动目录 1"/>
    <w:qFormat/>
    <w:uiPriority w:val="0"/>
    <w:rPr>
      <w:rFonts w:ascii="Calibri" w:hAnsi="Calibri" w:eastAsia="宋体" w:cs="Times New Roman"/>
      <w:lang w:val="en-US" w:eastAsia="zh-CN" w:bidi="ar-SA"/>
    </w:rPr>
  </w:style>
  <w:style w:type="paragraph" w:customStyle="1" w:styleId="60">
    <w:name w:val="WPSOffice手动目录 2"/>
    <w:qFormat/>
    <w:uiPriority w:val="0"/>
    <w:pPr>
      <w:ind w:left="200" w:leftChars="200"/>
    </w:pPr>
    <w:rPr>
      <w:rFonts w:ascii="Calibri" w:hAnsi="Calibri" w:eastAsia="宋体" w:cs="Times New Roman"/>
      <w:lang w:val="en-US" w:eastAsia="zh-CN" w:bidi="ar-SA"/>
    </w:rPr>
  </w:style>
  <w:style w:type="paragraph" w:customStyle="1" w:styleId="61">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62">
    <w:name w:val="一级条标题"/>
    <w:next w:val="35"/>
    <w:qFormat/>
    <w:uiPriority w:val="0"/>
    <w:pPr>
      <w:outlineLvl w:val="2"/>
    </w:pPr>
    <w:rPr>
      <w:rFonts w:ascii="Times New Roman" w:hAnsi="Times New Roman" w:eastAsia="黑体" w:cs="Times New Roman"/>
      <w:sz w:val="21"/>
      <w:lang w:val="en-US" w:eastAsia="zh-CN" w:bidi="ar-SA"/>
    </w:rPr>
  </w:style>
  <w:style w:type="paragraph" w:customStyle="1" w:styleId="63">
    <w:name w:val="正文表标题"/>
    <w:next w:val="35"/>
    <w:qFormat/>
    <w:uiPriority w:val="0"/>
    <w:pPr>
      <w:numPr>
        <w:ilvl w:val="0"/>
        <w:numId w:val="1"/>
      </w:numPr>
      <w:jc w:val="center"/>
    </w:pPr>
    <w:rPr>
      <w:rFonts w:ascii="黑体" w:hAnsi="Times New Roman" w:eastAsia="黑体" w:cs="Times New Roman"/>
      <w:kern w:val="0"/>
      <w:sz w:val="21"/>
      <w:szCs w:val="20"/>
      <w:lang w:val="en-US" w:eastAsia="zh-CN" w:bidi="ar-SA"/>
    </w:rPr>
  </w:style>
  <w:style w:type="paragraph" w:customStyle="1" w:styleId="64">
    <w:name w:val="注×："/>
    <w:qFormat/>
    <w:uiPriority w:val="0"/>
    <w:pPr>
      <w:widowControl w:val="0"/>
      <w:numPr>
        <w:ilvl w:val="0"/>
        <w:numId w:val="2"/>
      </w:numPr>
      <w:autoSpaceDE w:val="0"/>
      <w:autoSpaceDN w:val="0"/>
      <w:jc w:val="both"/>
    </w:pPr>
    <w:rPr>
      <w:rFonts w:ascii="宋体" w:hAnsi="Times New Roman" w:eastAsia="宋体" w:cs="宋体"/>
      <w:kern w:val="0"/>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4097"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10690F-A290-48DA-B8E1-308B716DAEA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33</Pages>
  <Words>20048</Words>
  <Characters>22198</Characters>
  <Lines>97</Lines>
  <Paragraphs>27</Paragraphs>
  <TotalTime>17</TotalTime>
  <ScaleCrop>false</ScaleCrop>
  <LinksUpToDate>false</LinksUpToDate>
  <CharactersWithSpaces>22422</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2022-06-17T06:07:00Z</dcterms:created>
  <dc:creator>Hu Zhiying</dc:creator>
  <cp:lastModifiedBy>liuning</cp:lastModifiedBy>
  <dcterms:modified xsi:type="dcterms:W3CDTF">2022-07-07T02:33:10Z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B77809FDD1164AA1BA5C7B6D2998BB71</vt:lpwstr>
  </property>
</Properties>
</file>