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6" w:right="105" w:rightChars="50" w:hanging="486" w:hangingChars="152"/>
        <w:jc w:val="left"/>
        <w:rPr>
          <w:rFonts w:hint="default" w:ascii="Times New Roman" w:hAnsi="Times New Roman"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方正小标宋简体"/>
          <w:bCs/>
          <w:color w:val="000000" w:themeColor="text1"/>
          <w:sz w:val="32"/>
          <w:szCs w:val="32"/>
          <w14:textFill>
            <w14:solidFill>
              <w14:schemeClr w14:val="tx1"/>
            </w14:solidFill>
          </w14:textFill>
        </w:rPr>
        <w:t>附件</w:t>
      </w:r>
      <w:r>
        <w:rPr>
          <w:rFonts w:hint="default" w:ascii="Times New Roman" w:hAnsi="Times New Roman" w:eastAsia="黑体" w:cs="Times New Roman"/>
          <w:bCs/>
          <w:color w:val="000000" w:themeColor="text1"/>
          <w:sz w:val="32"/>
          <w:szCs w:val="32"/>
          <w:lang w:val="en-US" w:eastAsia="zh-CN"/>
          <w14:textFill>
            <w14:solidFill>
              <w14:schemeClr w14:val="tx1"/>
            </w14:solidFill>
          </w14:textFill>
        </w:rPr>
        <w:t>2</w:t>
      </w:r>
    </w:p>
    <w:p>
      <w:pPr>
        <w:spacing w:line="360" w:lineRule="auto"/>
        <w:ind w:left="547" w:right="105" w:rightChars="50" w:hanging="547" w:hangingChars="152"/>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2022年大学新生入学教育网络培训课程列表</w:t>
      </w:r>
    </w:p>
    <w:tbl>
      <w:tblPr>
        <w:tblStyle w:val="3"/>
        <w:tblW w:w="5315" w:type="pc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219"/>
        <w:gridCol w:w="990"/>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课程模块</w:t>
            </w:r>
          </w:p>
        </w:tc>
        <w:tc>
          <w:tcPr>
            <w:tcW w:w="1776" w:type="pct"/>
            <w:shd w:val="clear" w:color="auto" w:fill="auto"/>
            <w:noWrap/>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课程名称</w:t>
            </w:r>
          </w:p>
        </w:tc>
        <w:tc>
          <w:tcPr>
            <w:tcW w:w="546" w:type="pc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主讲人</w:t>
            </w:r>
          </w:p>
        </w:tc>
        <w:tc>
          <w:tcPr>
            <w:tcW w:w="1865" w:type="pc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1" w:type="pct"/>
            <w:shd w:val="clear" w:color="auto" w:fill="auto"/>
            <w:vAlign w:val="center"/>
          </w:tcPr>
          <w:p>
            <w:pPr>
              <w:jc w:val="center"/>
              <w:textAlignment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4"/>
                <w:szCs w:val="24"/>
                <w:lang w:bidi="ar"/>
              </w:rPr>
              <w:t>校史校情篇</w:t>
            </w:r>
          </w:p>
        </w:tc>
        <w:tc>
          <w:tcPr>
            <w:tcW w:w="4188" w:type="pct"/>
            <w:gridSpan w:val="3"/>
            <w:shd w:val="clear" w:color="auto" w:fill="auto"/>
            <w:noWrap/>
            <w:vAlign w:val="center"/>
          </w:tcPr>
          <w:p>
            <w:pPr>
              <w:tabs>
                <w:tab w:val="left" w:pos="1342"/>
              </w:tabs>
              <w:jc w:val="left"/>
              <w:textAlignment w:val="center"/>
              <w:rPr>
                <w:rFonts w:ascii="Times New Roman" w:hAnsi="Times New Roman" w:eastAsia="仿宋_GB2312"/>
                <w:color w:val="auto"/>
                <w:kern w:val="0"/>
                <w:sz w:val="24"/>
                <w:szCs w:val="24"/>
                <w:lang w:bidi="ar"/>
              </w:rPr>
            </w:pPr>
            <w:r>
              <w:rPr>
                <w:rFonts w:ascii="Times New Roman" w:hAnsi="Times New Roman" w:eastAsia="仿宋_GB2312"/>
                <w:color w:val="auto"/>
                <w:kern w:val="0"/>
                <w:sz w:val="24"/>
                <w:szCs w:val="24"/>
                <w:lang w:bidi="ar"/>
              </w:rPr>
              <w:t>1.可由</w:t>
            </w:r>
            <w:r>
              <w:rPr>
                <w:rFonts w:hint="eastAsia" w:ascii="Times New Roman" w:hAnsi="Times New Roman" w:eastAsia="仿宋_GB2312"/>
                <w:color w:val="auto"/>
                <w:kern w:val="0"/>
                <w:sz w:val="24"/>
                <w:szCs w:val="24"/>
                <w:lang w:bidi="ar"/>
              </w:rPr>
              <w:t>参训</w:t>
            </w:r>
            <w:r>
              <w:rPr>
                <w:rFonts w:ascii="Times New Roman" w:hAnsi="Times New Roman" w:eastAsia="仿宋_GB2312"/>
                <w:color w:val="auto"/>
                <w:kern w:val="0"/>
                <w:sz w:val="24"/>
                <w:szCs w:val="24"/>
                <w:lang w:bidi="ar"/>
              </w:rPr>
              <w:t>单位通过直播的方式补充本校的校史、校情和校规等内容；</w:t>
            </w:r>
          </w:p>
          <w:p>
            <w:pPr>
              <w:tabs>
                <w:tab w:val="left" w:pos="1342"/>
              </w:tabs>
              <w:jc w:val="left"/>
              <w:textAlignment w:val="center"/>
              <w:rPr>
                <w:rFonts w:ascii="仿宋_GB2312" w:hAnsi="仿宋_GB2312" w:eastAsia="仿宋_GB2312" w:cs="仿宋_GB2312"/>
                <w:color w:val="auto"/>
                <w:kern w:val="0"/>
                <w:sz w:val="24"/>
                <w:szCs w:val="24"/>
                <w:lang w:bidi="ar"/>
              </w:rPr>
            </w:pPr>
            <w:r>
              <w:rPr>
                <w:rFonts w:ascii="Times New Roman" w:hAnsi="Times New Roman" w:eastAsia="仿宋_GB2312"/>
                <w:color w:val="auto"/>
                <w:kern w:val="0"/>
                <w:sz w:val="24"/>
                <w:szCs w:val="24"/>
                <w:lang w:bidi="ar"/>
              </w:rPr>
              <w:t>2.</w:t>
            </w:r>
            <w:r>
              <w:rPr>
                <w:rFonts w:hint="eastAsia" w:ascii="仿宋_GB2312" w:hAnsi="仿宋_GB2312" w:eastAsia="仿宋_GB2312" w:cs="仿宋_GB2312"/>
                <w:color w:val="auto"/>
                <w:kern w:val="0"/>
                <w:sz w:val="24"/>
                <w:szCs w:val="24"/>
                <w:lang w:bidi="ar"/>
              </w:rPr>
              <w:t>学习平台支持学校校本课程的上传和发布；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大学认识篇</w:t>
            </w:r>
          </w:p>
        </w:tc>
        <w:tc>
          <w:tcPr>
            <w:tcW w:w="1776"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大学新生的适应与发展</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刘海娟</w:t>
            </w:r>
          </w:p>
        </w:tc>
        <w:tc>
          <w:tcPr>
            <w:tcW w:w="1865" w:type="pct"/>
            <w:shd w:val="clear" w:color="auto" w:fill="auto"/>
            <w:vAlign w:val="center"/>
          </w:tcPr>
          <w:p>
            <w:pPr>
              <w:jc w:val="left"/>
              <w:textAlignment w:val="center"/>
              <w:rPr>
                <w:rFonts w:hint="default" w:ascii="仿宋_GB2312" w:hAnsi="仿宋_GB2312" w:eastAsia="仿宋_GB2312" w:cs="仿宋_GB2312"/>
                <w:color w:val="000000" w:themeColor="text1"/>
                <w:kern w:val="0"/>
                <w:sz w:val="24"/>
                <w:szCs w:val="24"/>
                <w:lang w:val="en-US"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中国矿业大学（北京）心理健康教育咨询中心主任、学生工作处副处长、教授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站在新起点上：迈好大学生活的第一步</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赖丹凤</w:t>
            </w:r>
          </w:p>
        </w:tc>
        <w:tc>
          <w:tcPr>
            <w:tcW w:w="1865" w:type="pct"/>
            <w:shd w:val="clear" w:color="auto" w:fill="auto"/>
            <w:vAlign w:val="center"/>
          </w:tcPr>
          <w:p>
            <w:pPr>
              <w:jc w:val="left"/>
              <w:textAlignment w:val="center"/>
              <w:rPr>
                <w:rFonts w:hint="default" w:ascii="仿宋_GB2312" w:hAnsi="仿宋_GB2312" w:eastAsia="仿宋_GB2312" w:cs="仿宋_GB2312"/>
                <w:color w:val="000000" w:themeColor="text1"/>
                <w:kern w:val="0"/>
                <w:sz w:val="24"/>
                <w:szCs w:val="24"/>
                <w:lang w:val="en-US"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厦门大学心理健康教育咨询中心主任、副教授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新时代大学生的自我提升——精准认识专业</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靳宇倡</w:t>
            </w:r>
          </w:p>
        </w:tc>
        <w:tc>
          <w:tcPr>
            <w:tcW w:w="1865" w:type="pct"/>
            <w:shd w:val="clear" w:color="auto" w:fill="auto"/>
            <w:vAlign w:val="center"/>
          </w:tcPr>
          <w:p>
            <w:pPr>
              <w:jc w:val="left"/>
              <w:textAlignment w:val="center"/>
              <w:rPr>
                <w:rFonts w:hint="default" w:ascii="仿宋_GB2312" w:hAnsi="仿宋_GB2312" w:eastAsia="仿宋_GB2312" w:cs="仿宋_GB2312"/>
                <w:color w:val="000000" w:themeColor="text1"/>
                <w:kern w:val="0"/>
                <w:sz w:val="24"/>
                <w:szCs w:val="24"/>
                <w:lang w:val="en-US"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四川师范大学心理学院院长、教授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在中华民族伟大复兴征程中唱响青春之我</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吴  庆</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中国青年政治学院（中央团校）教授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军事理论篇</w:t>
            </w: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国防教育——中国国防</w:t>
            </w:r>
          </w:p>
        </w:tc>
        <w:tc>
          <w:tcPr>
            <w:tcW w:w="546" w:type="pct"/>
            <w:vMerge w:val="restar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蒋  斌等</w:t>
            </w:r>
          </w:p>
        </w:tc>
        <w:tc>
          <w:tcPr>
            <w:tcW w:w="1865" w:type="pct"/>
            <w:vMerge w:val="restar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中国人民解放军陆军工程大学副教授等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国防教育——国家安全</w:t>
            </w:r>
          </w:p>
        </w:tc>
        <w:tc>
          <w:tcPr>
            <w:tcW w:w="546" w:type="pct"/>
            <w:vMerge w:val="continue"/>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国防教育——军事思想</w:t>
            </w:r>
          </w:p>
        </w:tc>
        <w:tc>
          <w:tcPr>
            <w:tcW w:w="546" w:type="pct"/>
            <w:vMerge w:val="continue"/>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国防教育——现代战争</w:t>
            </w:r>
          </w:p>
        </w:tc>
        <w:tc>
          <w:tcPr>
            <w:tcW w:w="546" w:type="pct"/>
            <w:vMerge w:val="continue"/>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国防教育——信息化装备</w:t>
            </w:r>
          </w:p>
        </w:tc>
        <w:tc>
          <w:tcPr>
            <w:tcW w:w="546" w:type="pct"/>
            <w:vMerge w:val="continue"/>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百年大变局下国际战略形势的走向分析</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苏  浩</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外交学院战略与和平研究中心主任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国家安全教育</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于  浩</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华东师范大学法学院研究员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弘扬新时代的爱国主义</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孙  芳</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华北电力大学马克思主义学院教授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生活交往篇</w:t>
            </w: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大学生人际沟通——我好，你也好</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臧伟伟</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北京科技大学心理素质教育中心副主任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人际关系与沟通技巧</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周  莉</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中国人民大学心理健康教育与咨询中心教授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培养阳光心态营造积极人际关系</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杨凤池</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首都医科大学教授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谈谈宿舍关系问题应对</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刘  卉</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北京大学学生心理健康教育与咨询中心主任，副教授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学习考试篇</w:t>
            </w: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人是如何学习的：学习之疑——释疑寻根</w:t>
            </w:r>
          </w:p>
        </w:tc>
        <w:tc>
          <w:tcPr>
            <w:tcW w:w="546" w:type="pct"/>
            <w:vMerge w:val="restar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杜玉霞</w:t>
            </w:r>
          </w:p>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等</w:t>
            </w:r>
          </w:p>
        </w:tc>
        <w:tc>
          <w:tcPr>
            <w:tcW w:w="1865" w:type="pct"/>
            <w:vMerge w:val="restart"/>
            <w:shd w:val="clear" w:color="auto" w:fill="auto"/>
            <w:noWrap/>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广州大学知识工程与智慧教育研究中心主任、教授等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人是如何学习的：学习的本质——刨根究底</w:t>
            </w:r>
          </w:p>
        </w:tc>
        <w:tc>
          <w:tcPr>
            <w:tcW w:w="546" w:type="pct"/>
            <w:vMerge w:val="continue"/>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noWrap/>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人是如何学习的：学习的原理——洞悉规律</w:t>
            </w:r>
          </w:p>
        </w:tc>
        <w:tc>
          <w:tcPr>
            <w:tcW w:w="546" w:type="pct"/>
            <w:vMerge w:val="continue"/>
            <w:shd w:val="clear" w:color="auto" w:fill="auto"/>
            <w:vAlign w:val="center"/>
          </w:tcPr>
          <w:p>
            <w:pPr>
              <w:jc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noWrap/>
            <w:vAlign w:val="center"/>
          </w:tcPr>
          <w:p>
            <w:pPr>
              <w:jc w:val="left"/>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人是如何学习的：什么在影响学习——探因提效</w:t>
            </w:r>
          </w:p>
        </w:tc>
        <w:tc>
          <w:tcPr>
            <w:tcW w:w="546" w:type="pct"/>
            <w:vMerge w:val="continue"/>
            <w:shd w:val="clear" w:color="auto" w:fill="auto"/>
            <w:vAlign w:val="center"/>
          </w:tcPr>
          <w:p>
            <w:pPr>
              <w:jc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noWrap/>
            <w:vAlign w:val="center"/>
          </w:tcPr>
          <w:p>
            <w:pPr>
              <w:jc w:val="left"/>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学习很努力成绩却不提高</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李  梅</w:t>
            </w:r>
          </w:p>
        </w:tc>
        <w:tc>
          <w:tcPr>
            <w:tcW w:w="1865" w:type="pct"/>
            <w:shd w:val="clear" w:color="auto" w:fill="auto"/>
            <w:noWrap/>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江苏师范大学教育科学学院心理系教授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考试焦虑无法正常发挥-</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李  梅</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江苏师范大学教育科学学院心理系教授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新时代大学生的自我提升——提升科研能力</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靳宇倡</w:t>
            </w:r>
          </w:p>
        </w:tc>
        <w:tc>
          <w:tcPr>
            <w:tcW w:w="1865" w:type="pct"/>
            <w:shd w:val="clear" w:color="auto" w:fill="auto"/>
            <w:vAlign w:val="center"/>
          </w:tcPr>
          <w:p>
            <w:pPr>
              <w:jc w:val="left"/>
              <w:textAlignment w:val="center"/>
              <w:rPr>
                <w:rFonts w:hint="default" w:ascii="仿宋_GB2312" w:hAnsi="仿宋_GB2312" w:eastAsia="仿宋_GB2312" w:cs="仿宋_GB2312"/>
                <w:color w:val="000000" w:themeColor="text1"/>
                <w:kern w:val="0"/>
                <w:sz w:val="24"/>
                <w:szCs w:val="24"/>
                <w:lang w:val="en-US"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四川师范大学心理学院院长、教授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如何提升创新能力</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蔡本睿</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北京校企合作促进会常务副会长、正高研究员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安全教育篇</w:t>
            </w: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坚持总体国家安全观，统筹传统安全和非传统安全</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刘跃进</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国际关系学院公共管理系教授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信息安全面面观</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微  课</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做网络公民，学会保护隐私信息</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微  课</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现场生命急救知识与技能</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郑莉萍等</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南昌大学江西医学院教授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与死神共舞——远离毒品 珍爱生命</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陈士堃</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上海市公安局宝山分局刑侦支队海滨探组探长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大数据时代的个人信息保护：精准治理“精准诈骗”</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秦  安</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中国网络空间战略研究所所长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自我管理篇</w:t>
            </w:r>
          </w:p>
        </w:tc>
        <w:tc>
          <w:tcPr>
            <w:tcW w:w="1776"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当代青年心理学——青年自我意识篇</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宁维卫</w:t>
            </w:r>
          </w:p>
        </w:tc>
        <w:tc>
          <w:tcPr>
            <w:tcW w:w="1865" w:type="pct"/>
            <w:shd w:val="clear" w:color="auto" w:fill="auto"/>
            <w:noWrap/>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西南交通大学心理研究与咨询中心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自我塑造</w:t>
            </w:r>
          </w:p>
        </w:tc>
        <w:tc>
          <w:tcPr>
            <w:tcW w:w="546" w:type="pct"/>
            <w:vMerge w:val="restart"/>
            <w:shd w:val="clear" w:color="auto" w:fill="auto"/>
            <w:noWrap/>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陈月华</w:t>
            </w:r>
          </w:p>
        </w:tc>
        <w:tc>
          <w:tcPr>
            <w:tcW w:w="1865" w:type="pct"/>
            <w:vMerge w:val="restart"/>
            <w:shd w:val="clear" w:color="auto" w:fill="auto"/>
            <w:noWrap/>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哈尔滨工业大学人文学院传播学系教授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自我塑造：学会幸福</w:t>
            </w:r>
          </w:p>
        </w:tc>
        <w:tc>
          <w:tcPr>
            <w:tcW w:w="546" w:type="pct"/>
            <w:vMerge w:val="continue"/>
            <w:shd w:val="clear" w:color="auto" w:fill="auto"/>
            <w:noWrap/>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自我塑造：成功五要素</w:t>
            </w:r>
          </w:p>
        </w:tc>
        <w:tc>
          <w:tcPr>
            <w:tcW w:w="546" w:type="pct"/>
            <w:vMerge w:val="continue"/>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c>
          <w:tcPr>
            <w:tcW w:w="1865" w:type="pct"/>
            <w:vMerge w:val="continue"/>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人生价值与大学生成长成才</w:t>
            </w:r>
          </w:p>
        </w:tc>
        <w:tc>
          <w:tcPr>
            <w:tcW w:w="546" w:type="pct"/>
            <w:shd w:val="clear" w:color="auto" w:fill="auto"/>
            <w:vAlign w:val="center"/>
          </w:tcPr>
          <w:p>
            <w:pPr>
              <w:jc w:val="cente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甘  玲</w:t>
            </w:r>
          </w:p>
        </w:tc>
        <w:tc>
          <w:tcPr>
            <w:tcW w:w="1865" w:type="pct"/>
            <w:shd w:val="clear" w:color="auto" w:fill="auto"/>
            <w:vAlign w:val="center"/>
          </w:tcPr>
          <w:p>
            <w:pPr>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河北科技大学教授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新时代大学生的自我提升——充分利用时间</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靳宇倡</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四川师范大学心理学院院长、教授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新时代大学生的自我提升——进行自我管理</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靳宇倡</w:t>
            </w:r>
          </w:p>
        </w:tc>
        <w:tc>
          <w:tcPr>
            <w:tcW w:w="1865" w:type="pct"/>
            <w:shd w:val="clear" w:color="auto" w:fill="auto"/>
            <w:vAlign w:val="center"/>
          </w:tcPr>
          <w:p>
            <w:pPr>
              <w:jc w:val="left"/>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四川师范大学心理学院院长、教授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弘扬爱国奋斗精神 建功立业新时代</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张  健</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南开大学马克思主义学院教授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心理健康篇</w:t>
            </w: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改变我们的生活——成为压力管理的高手</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徐  斌</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首都经济贸易大学教授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如何科学管理情绪</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闫  芳</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首都医科大学附属北京安定医院国家精神心理疾病临床医学研究中心知名专家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积极心理学视角下大学生心理自我提升</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段鑫星</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中国矿业大学公共管理学院教授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心理危机识别与应对</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张  东</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回龙观医院原副主任，心理治疗师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大学恋爱观——把握爱情真谛 树立家庭美德</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刘  卉</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北京大学学生心理健康教育与咨询中心主任、副教授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textAlignment w:val="center"/>
              <w:rPr>
                <w:rFonts w:ascii="仿宋_GB2312" w:hAnsi="仿宋_GB2312" w:eastAsia="仿宋_GB2312" w:cs="仿宋_GB2312"/>
                <w:b/>
                <w:bCs/>
                <w:color w:val="000000" w:themeColor="text1"/>
                <w:kern w:val="0"/>
                <w:sz w:val="24"/>
                <w:szCs w:val="24"/>
                <w:lang w:bidi="ar"/>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大学生情感心理与疏导</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段鑫星</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中国矿业大学公共管理学院教授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restart"/>
            <w:shd w:val="clear" w:color="auto" w:fill="auto"/>
            <w:vAlign w:val="center"/>
          </w:tcPr>
          <w:p>
            <w:pPr>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职业规划篇</w:t>
            </w:r>
          </w:p>
        </w:tc>
        <w:tc>
          <w:tcPr>
            <w:tcW w:w="1776" w:type="pct"/>
            <w:shd w:val="clear" w:color="auto" w:fill="auto"/>
            <w:noWrap/>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大学生职业生涯规划与就业指导能力锻造</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田振敏</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西南大学招生就业处就业指导科科长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新时代大学生的自我提升——进行职业规划</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靳宇倡</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四川师范大学心理学院院长、教授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职业生涯探索与就业准备</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刘海滨</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东北师范大学副教授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好工作，从优秀简历开始</w:t>
            </w:r>
          </w:p>
        </w:tc>
        <w:tc>
          <w:tcPr>
            <w:tcW w:w="546" w:type="pct"/>
            <w:shd w:val="clear" w:color="auto" w:fill="auto"/>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田振敏</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西南大学招生就业处就业指导科科长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职场面试中如何自我介绍</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吴  丹</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情绪心理训练专家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noWrap/>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职场礼仪与职业形象</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田  静</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北京理工大学就业指导中心主任助理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pct"/>
            <w:vMerge w:val="continue"/>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76" w:type="pct"/>
            <w:shd w:val="clear" w:color="auto" w:fill="auto"/>
            <w:noWrap/>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如何有效处理职场人际关系</w:t>
            </w:r>
          </w:p>
        </w:tc>
        <w:tc>
          <w:tcPr>
            <w:tcW w:w="546" w:type="pct"/>
            <w:shd w:val="clear" w:color="auto" w:fill="auto"/>
            <w:noWrap/>
            <w:vAlign w:val="center"/>
          </w:tcPr>
          <w:p>
            <w:pPr>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周茂源</w:t>
            </w:r>
          </w:p>
        </w:tc>
        <w:tc>
          <w:tcPr>
            <w:tcW w:w="1865" w:type="pct"/>
            <w:shd w:val="clear" w:color="auto" w:fill="auto"/>
            <w:vAlign w:val="center"/>
          </w:tcPr>
          <w:p>
            <w:pP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高级职业化塑造培训师</w:t>
            </w:r>
          </w:p>
        </w:tc>
      </w:tr>
    </w:tbl>
    <w:p>
      <w:pPr>
        <w:pStyle w:val="5"/>
        <w:spacing w:line="360" w:lineRule="exact"/>
        <w:ind w:right="-57" w:rightChars="-27" w:firstLine="0" w:firstLineChars="0"/>
        <w:rPr>
          <w:rFonts w:ascii="楷体" w:hAnsi="楷体" w:eastAsia="楷体" w:cs="仿宋"/>
          <w:color w:val="000000" w:themeColor="text1"/>
          <w14:textFill>
            <w14:solidFill>
              <w14:schemeClr w14:val="tx1"/>
            </w14:solidFill>
          </w14:textFill>
        </w:rPr>
      </w:pPr>
      <w:r>
        <w:rPr>
          <w:rFonts w:ascii="楷体" w:hAnsi="楷体" w:eastAsia="楷体" w:cs="仿宋"/>
          <w:color w:val="000000" w:themeColor="text1"/>
          <w14:textFill>
            <w14:solidFill>
              <w14:schemeClr w14:val="tx1"/>
            </w14:solidFill>
          </w14:textFill>
        </w:rPr>
        <w:t>说明</w:t>
      </w:r>
      <w:r>
        <w:rPr>
          <w:rFonts w:hint="eastAsia" w:ascii="楷体" w:hAnsi="楷体" w:eastAsia="楷体" w:cs="仿宋"/>
          <w:color w:val="000000" w:themeColor="text1"/>
          <w14:textFill>
            <w14:solidFill>
              <w14:schemeClr w14:val="tx1"/>
            </w14:solidFill>
          </w14:textFill>
        </w:rPr>
        <w:t>：</w:t>
      </w:r>
      <w:r>
        <w:rPr>
          <w:rFonts w:ascii="Times New Roman" w:hAnsi="Times New Roman" w:eastAsia="楷体"/>
          <w:color w:val="000000" w:themeColor="text1"/>
          <w14:textFill>
            <w14:solidFill>
              <w14:schemeClr w14:val="tx1"/>
            </w14:solidFill>
          </w14:textFill>
        </w:rPr>
        <w:t>1</w:t>
      </w:r>
      <w:r>
        <w:rPr>
          <w:rFonts w:hint="eastAsia" w:ascii="Times New Roman" w:hAnsi="Times New Roman" w:eastAsia="楷体"/>
          <w:color w:val="000000" w:themeColor="text1"/>
          <w14:textFill>
            <w14:solidFill>
              <w14:schemeClr w14:val="tx1"/>
            </w14:solidFill>
          </w14:textFill>
        </w:rPr>
        <w:t>.</w:t>
      </w:r>
      <w:r>
        <w:rPr>
          <w:rFonts w:hint="eastAsia" w:ascii="楷体" w:hAnsi="楷体" w:eastAsia="楷体" w:cs="仿宋"/>
          <w:color w:val="000000" w:themeColor="text1"/>
          <w14:textFill>
            <w14:solidFill>
              <w14:schemeClr w14:val="tx1"/>
            </w14:solidFill>
          </w14:textFill>
        </w:rPr>
        <w:t>个别课程或稍有调整，请以平台最终发布课程为准；</w:t>
      </w:r>
    </w:p>
    <w:p>
      <w:pPr>
        <w:spacing w:line="360" w:lineRule="auto"/>
        <w:ind w:right="105" w:rightChars="50" w:firstLine="720" w:firstLineChars="300"/>
        <w:rPr>
          <w:rFonts w:ascii="方正小标宋简体" w:hAnsi="方正小标宋简体" w:eastAsia="方正小标宋简体" w:cs="方正小标宋简体"/>
          <w:bCs/>
          <w:color w:val="000000" w:themeColor="text1"/>
          <w:sz w:val="28"/>
          <w:szCs w:val="28"/>
          <w14:textFill>
            <w14:solidFill>
              <w14:schemeClr w14:val="tx1"/>
            </w14:solidFill>
          </w14:textFill>
        </w:rPr>
      </w:pPr>
      <w:r>
        <w:rPr>
          <w:rFonts w:ascii="Times New Roman" w:hAnsi="Times New Roman" w:eastAsia="楷体"/>
          <w:color w:val="000000" w:themeColor="text1"/>
          <w:sz w:val="24"/>
          <w:szCs w:val="24"/>
          <w14:textFill>
            <w14:solidFill>
              <w14:schemeClr w14:val="tx1"/>
            </w14:solidFill>
          </w14:textFill>
        </w:rPr>
        <w:t>2.</w:t>
      </w:r>
      <w:r>
        <w:rPr>
          <w:rFonts w:ascii="楷体" w:hAnsi="楷体" w:eastAsia="楷体" w:cs="仿宋"/>
          <w:color w:val="000000" w:themeColor="text1"/>
          <w:sz w:val="24"/>
          <w:szCs w:val="24"/>
          <w14:textFill>
            <w14:solidFill>
              <w14:schemeClr w14:val="tx1"/>
            </w14:solidFill>
          </w14:textFill>
        </w:rPr>
        <w:t>课程主讲人职务为课程录制时的职务</w:t>
      </w:r>
      <w:r>
        <w:rPr>
          <w:rFonts w:hint="eastAsia" w:ascii="楷体" w:hAnsi="楷体" w:eastAsia="楷体" w:cs="仿宋"/>
          <w:color w:val="000000" w:themeColor="text1"/>
          <w:sz w:val="24"/>
          <w:szCs w:val="24"/>
          <w14:textFill>
            <w14:solidFill>
              <w14:schemeClr w14:val="tx1"/>
            </w14:solidFill>
          </w14:textFill>
        </w:rPr>
        <w:t>。</w:t>
      </w:r>
    </w:p>
    <w:p>
      <w:pPr>
        <w:rPr>
          <w:rFonts w:ascii="Times New Roman" w:hAnsi="Times New Roman" w:eastAsia="黑体"/>
          <w:color w:val="000000" w:themeColor="text1"/>
          <w:sz w:val="28"/>
          <w:szCs w:val="28"/>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WE1NWUzNjU1ZTEyYzRmYWNlOWM1OTkyNDhlMTMifQ=="/>
  </w:docVars>
  <w:rsids>
    <w:rsidRoot w:val="00000000"/>
    <w:rsid w:val="1DC1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00正文"/>
    <w:basedOn w:val="1"/>
    <w:qFormat/>
    <w:uiPriority w:val="0"/>
    <w:pPr>
      <w:spacing w:line="360" w:lineRule="auto"/>
      <w:ind w:firstLine="480" w:firstLineChars="200"/>
      <w:textAlignment w:val="baseline"/>
    </w:pPr>
    <w:rPr>
      <w:rFonts w:ascii="仿宋_GB2312" w:hAnsi="宋体" w:eastAsia="仿宋_GB2312"/>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2022-09-07T08:42:55Z</dcterms:created>
  <dc:creator>Administrator</dc:creator>
  <cp:lastModifiedBy>一叶编舟</cp:lastModifiedBy>
  <dcterms:modified xsi:type="dcterms:W3CDTF">2022-09-07T08:43:07Z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AF292B70F15E49F5936A60D5E977F13D</vt:lpwstr>
  </property>
</Properties>
</file>