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7" w:leftChars="-200" w:hanging="597" w:hangingChars="199"/>
        <w:rPr>
          <w:rFonts w:ascii="黑体" w:hAnsi="黑体" w:eastAsia="黑体" w:cs="Times New Roman"/>
          <w:sz w:val="30"/>
          <w:szCs w:val="30"/>
        </w:rPr>
      </w:pPr>
      <w:r>
        <w:rPr>
          <w:rFonts w:ascii="黑体" w:hAnsi="黑体" w:eastAsia="黑体" w:cs="Times New Roman"/>
          <w:sz w:val="30"/>
          <w:szCs w:val="30"/>
        </w:rPr>
        <w:t>附件</w:t>
      </w:r>
      <w:r>
        <w:rPr>
          <w:rFonts w:hint="eastAsia" w:ascii="黑体" w:hAnsi="黑体" w:eastAsia="黑体" w:cs="Times New Roman"/>
          <w:sz w:val="30"/>
          <w:szCs w:val="30"/>
        </w:rPr>
        <w:t>1</w:t>
      </w:r>
    </w:p>
    <w:p>
      <w:pPr>
        <w:spacing w:line="360" w:lineRule="auto"/>
        <w:ind w:left="216" w:leftChars="-200" w:hanging="636" w:hangingChars="199"/>
        <w:jc w:val="center"/>
        <w:rPr>
          <w:rFonts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学习习近平总书记在庆祝中国共产主义青年团成立100周大会上的重要讲话精神专题直播课程和录播课程列表</w:t>
      </w:r>
      <w:bookmarkEnd w:id="0"/>
    </w:p>
    <w:p>
      <w:pPr>
        <w:spacing w:before="319" w:beforeLines="100" w:line="320" w:lineRule="exact"/>
        <w:ind w:left="2" w:leftChars="-200" w:hanging="422" w:hangingChars="175"/>
        <w:rPr>
          <w:rFonts w:ascii="Times New Roman" w:hAnsi="Times New Roman" w:eastAsia="仿宋" w:cs="Times New Roman"/>
          <w:b/>
          <w:bCs/>
          <w:color w:val="000000"/>
          <w:sz w:val="24"/>
        </w:rPr>
      </w:pPr>
      <w:r>
        <w:rPr>
          <w:rFonts w:ascii="Times New Roman" w:hAnsi="Times New Roman" w:eastAsia="仿宋" w:cs="Times New Roman"/>
          <w:b/>
          <w:bCs/>
          <w:color w:val="000000"/>
          <w:sz w:val="24"/>
        </w:rPr>
        <w:t>表1 直播课程列表</w:t>
      </w:r>
    </w:p>
    <w:tbl>
      <w:tblPr>
        <w:tblStyle w:val="4"/>
        <w:tblW w:w="912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418"/>
        <w:gridCol w:w="994"/>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120" w:type="dxa"/>
            <w:gridSpan w:val="4"/>
            <w:shd w:val="clear" w:color="auto" w:fill="D9D9D9"/>
            <w:vAlign w:val="center"/>
          </w:tcPr>
          <w:p>
            <w:pPr>
              <w:widowControl/>
              <w:spacing w:line="320" w:lineRule="exact"/>
              <w:jc w:val="center"/>
              <w:rPr>
                <w:rFonts w:eastAsia="黑体"/>
                <w:color w:val="000000"/>
                <w:kern w:val="0"/>
                <w:sz w:val="24"/>
              </w:rPr>
            </w:pPr>
            <w:r>
              <w:rPr>
                <w:rFonts w:hint="eastAsia" w:eastAsia="黑体"/>
                <w:color w:val="000000"/>
                <w:kern w:val="0"/>
                <w:sz w:val="28"/>
                <w:szCs w:val="24"/>
              </w:rPr>
              <w:t>青年理论学习直播讲堂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79" w:type="dxa"/>
            <w:vAlign w:val="center"/>
          </w:tcPr>
          <w:p>
            <w:pPr>
              <w:widowControl/>
              <w:adjustRightInd w:val="0"/>
              <w:snapToGrid w:val="0"/>
              <w:spacing w:line="320" w:lineRule="exact"/>
              <w:jc w:val="center"/>
              <w:textAlignment w:val="center"/>
              <w:rPr>
                <w:rFonts w:eastAsia="黑体"/>
                <w:color w:val="000000"/>
                <w:kern w:val="0"/>
                <w:sz w:val="24"/>
                <w:lang w:bidi="ar"/>
              </w:rPr>
            </w:pPr>
            <w:r>
              <w:rPr>
                <w:rFonts w:eastAsia="黑体"/>
                <w:color w:val="000000"/>
                <w:kern w:val="0"/>
                <w:sz w:val="24"/>
                <w:lang w:bidi="ar"/>
              </w:rPr>
              <w:t>时</w:t>
            </w:r>
            <w:r>
              <w:rPr>
                <w:rFonts w:hint="eastAsia" w:eastAsia="黑体"/>
                <w:color w:val="000000"/>
                <w:kern w:val="0"/>
                <w:sz w:val="24"/>
                <w:lang w:bidi="ar"/>
              </w:rPr>
              <w:t xml:space="preserve"> </w:t>
            </w:r>
            <w:r>
              <w:rPr>
                <w:rFonts w:eastAsia="黑体"/>
                <w:color w:val="000000"/>
                <w:kern w:val="0"/>
                <w:sz w:val="24"/>
                <w:lang w:bidi="ar"/>
              </w:rPr>
              <w:t>间</w:t>
            </w:r>
          </w:p>
        </w:tc>
        <w:tc>
          <w:tcPr>
            <w:tcW w:w="3418" w:type="dxa"/>
            <w:vAlign w:val="center"/>
          </w:tcPr>
          <w:p>
            <w:pPr>
              <w:widowControl/>
              <w:adjustRightInd w:val="0"/>
              <w:snapToGrid w:val="0"/>
              <w:spacing w:line="320" w:lineRule="exact"/>
              <w:jc w:val="center"/>
              <w:textAlignment w:val="center"/>
              <w:rPr>
                <w:rFonts w:eastAsia="黑体"/>
                <w:color w:val="000000"/>
                <w:kern w:val="0"/>
                <w:sz w:val="24"/>
                <w:lang w:bidi="ar"/>
              </w:rPr>
            </w:pPr>
            <w:r>
              <w:rPr>
                <w:rFonts w:eastAsia="黑体"/>
                <w:color w:val="000000"/>
                <w:kern w:val="0"/>
                <w:sz w:val="24"/>
                <w:lang w:bidi="ar"/>
              </w:rPr>
              <w:t>主</w:t>
            </w:r>
            <w:r>
              <w:rPr>
                <w:rFonts w:hint="eastAsia" w:eastAsia="黑体"/>
                <w:color w:val="000000"/>
                <w:kern w:val="0"/>
                <w:sz w:val="24"/>
                <w:lang w:bidi="ar"/>
              </w:rPr>
              <w:t xml:space="preserve"> </w:t>
            </w:r>
            <w:r>
              <w:rPr>
                <w:rFonts w:eastAsia="黑体"/>
                <w:color w:val="000000"/>
                <w:kern w:val="0"/>
                <w:sz w:val="24"/>
                <w:lang w:bidi="ar"/>
              </w:rPr>
              <w:t>题</w:t>
            </w:r>
          </w:p>
        </w:tc>
        <w:tc>
          <w:tcPr>
            <w:tcW w:w="994" w:type="dxa"/>
            <w:vAlign w:val="center"/>
          </w:tcPr>
          <w:p>
            <w:pPr>
              <w:widowControl/>
              <w:adjustRightInd w:val="0"/>
              <w:snapToGrid w:val="0"/>
              <w:spacing w:line="320" w:lineRule="exact"/>
              <w:jc w:val="center"/>
              <w:textAlignment w:val="center"/>
              <w:rPr>
                <w:rFonts w:eastAsia="黑体"/>
                <w:color w:val="000000"/>
                <w:kern w:val="0"/>
                <w:sz w:val="24"/>
                <w:lang w:bidi="ar"/>
              </w:rPr>
            </w:pPr>
            <w:r>
              <w:rPr>
                <w:rFonts w:hint="eastAsia" w:eastAsia="黑体"/>
                <w:color w:val="000000"/>
                <w:kern w:val="0"/>
                <w:sz w:val="24"/>
                <w:lang w:bidi="ar"/>
              </w:rPr>
              <w:t>拟计划邀请</w:t>
            </w:r>
            <w:r>
              <w:rPr>
                <w:rFonts w:eastAsia="黑体"/>
                <w:color w:val="000000"/>
                <w:kern w:val="0"/>
                <w:sz w:val="24"/>
                <w:lang w:bidi="ar"/>
              </w:rPr>
              <w:t>人</w:t>
            </w:r>
          </w:p>
        </w:tc>
        <w:tc>
          <w:tcPr>
            <w:tcW w:w="3429" w:type="dxa"/>
            <w:vAlign w:val="center"/>
          </w:tcPr>
          <w:p>
            <w:pPr>
              <w:widowControl/>
              <w:adjustRightInd w:val="0"/>
              <w:snapToGrid w:val="0"/>
              <w:spacing w:line="320" w:lineRule="exact"/>
              <w:jc w:val="center"/>
              <w:textAlignment w:val="center"/>
              <w:rPr>
                <w:rFonts w:eastAsia="黑体"/>
                <w:color w:val="000000"/>
                <w:kern w:val="0"/>
                <w:sz w:val="24"/>
                <w:lang w:bidi="ar"/>
              </w:rPr>
            </w:pPr>
            <w:r>
              <w:rPr>
                <w:rFonts w:eastAsia="黑体"/>
                <w:color w:val="000000"/>
                <w:kern w:val="0"/>
                <w:sz w:val="24"/>
                <w:lang w:bidi="ar"/>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79" w:type="dxa"/>
            <w:vAlign w:val="center"/>
          </w:tcPr>
          <w:p>
            <w:pPr>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第1期</w:t>
            </w:r>
          </w:p>
        </w:tc>
        <w:tc>
          <w:tcPr>
            <w:tcW w:w="3418" w:type="dxa"/>
            <w:vAlign w:val="center"/>
          </w:tcPr>
          <w:p>
            <w:pPr>
              <w:widowControl/>
              <w:rPr>
                <w:rFonts w:eastAsia="仿宋_GB2312"/>
                <w:sz w:val="24"/>
              </w:rPr>
            </w:pPr>
            <w:r>
              <w:rPr>
                <w:rFonts w:hint="eastAsia" w:ascii="Times New Roman" w:hAnsi="Times New Roman" w:eastAsia="仿宋_GB2312" w:cs="宋体"/>
                <w:color w:val="000000"/>
                <w:kern w:val="0"/>
                <w:sz w:val="24"/>
                <w:szCs w:val="24"/>
              </w:rPr>
              <w:t>深刻理解党的青春特质 抓好后继有人这个根本大计</w:t>
            </w:r>
          </w:p>
        </w:tc>
        <w:tc>
          <w:tcPr>
            <w:tcW w:w="994" w:type="dxa"/>
            <w:vAlign w:val="center"/>
          </w:tcPr>
          <w:p>
            <w:pPr>
              <w:widowControl/>
              <w:jc w:val="center"/>
              <w:rPr>
                <w:rFonts w:eastAsia="仿宋_GB2312"/>
                <w:color w:val="000000"/>
                <w:sz w:val="24"/>
              </w:rPr>
            </w:pPr>
            <w:r>
              <w:rPr>
                <w:rFonts w:hint="eastAsia" w:ascii="Times New Roman" w:hAnsi="Times New Roman" w:eastAsia="仿宋_GB2312" w:cs="宋体"/>
                <w:color w:val="000000"/>
                <w:kern w:val="0"/>
                <w:sz w:val="24"/>
                <w:szCs w:val="24"/>
              </w:rPr>
              <w:t>吴  庆</w:t>
            </w:r>
          </w:p>
        </w:tc>
        <w:tc>
          <w:tcPr>
            <w:tcW w:w="3429" w:type="dxa"/>
            <w:vAlign w:val="center"/>
          </w:tcPr>
          <w:p>
            <w:pPr>
              <w:widowControl/>
              <w:jc w:val="left"/>
              <w:rPr>
                <w:rFonts w:eastAsia="仿宋_GB2312"/>
                <w:color w:val="000000"/>
                <w:sz w:val="24"/>
              </w:rPr>
            </w:pPr>
            <w:r>
              <w:rPr>
                <w:rFonts w:hint="eastAsia" w:ascii="Times New Roman" w:hAnsi="Times New Roman" w:eastAsia="仿宋_GB2312" w:cs="宋体"/>
                <w:color w:val="000000"/>
                <w:kern w:val="0"/>
                <w:sz w:val="24"/>
                <w:szCs w:val="24"/>
              </w:rPr>
              <w:t>中央团校(中国青年政治学院)共青团工作理论研究所所长、教授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279" w:type="dxa"/>
            <w:vAlign w:val="center"/>
          </w:tcPr>
          <w:p>
            <w:pPr>
              <w:spacing w:line="32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第2期</w:t>
            </w:r>
          </w:p>
        </w:tc>
        <w:tc>
          <w:tcPr>
            <w:tcW w:w="3418" w:type="dxa"/>
            <w:vAlign w:val="center"/>
          </w:tcPr>
          <w:p>
            <w:pPr>
              <w:adjustRightInd w:val="0"/>
              <w:snapToGrid w:val="0"/>
              <w:spacing w:line="320" w:lineRule="exact"/>
              <w:rPr>
                <w:rFonts w:eastAsia="仿宋_GB2312"/>
                <w:sz w:val="24"/>
              </w:rPr>
            </w:pPr>
            <w:r>
              <w:rPr>
                <w:rFonts w:hint="eastAsia" w:eastAsia="仿宋_GB2312"/>
                <w:sz w:val="24"/>
              </w:rPr>
              <w:t>以二十大精神为指引  回望共青团百年历程  担当新时代青春使命</w:t>
            </w:r>
          </w:p>
        </w:tc>
        <w:tc>
          <w:tcPr>
            <w:tcW w:w="994" w:type="dxa"/>
            <w:vAlign w:val="center"/>
          </w:tcPr>
          <w:p>
            <w:pPr>
              <w:spacing w:line="320" w:lineRule="exact"/>
              <w:jc w:val="center"/>
              <w:rPr>
                <w:rFonts w:eastAsia="仿宋_GB2312"/>
                <w:sz w:val="24"/>
              </w:rPr>
            </w:pPr>
            <w:r>
              <w:rPr>
                <w:rFonts w:hint="eastAsia" w:eastAsia="仿宋_GB2312"/>
                <w:sz w:val="24"/>
              </w:rPr>
              <w:t>胡献忠</w:t>
            </w:r>
          </w:p>
        </w:tc>
        <w:tc>
          <w:tcPr>
            <w:tcW w:w="3429" w:type="dxa"/>
            <w:vAlign w:val="center"/>
          </w:tcPr>
          <w:p>
            <w:pPr>
              <w:spacing w:line="320" w:lineRule="exact"/>
              <w:rPr>
                <w:rFonts w:eastAsia="仿宋_GB2312"/>
                <w:sz w:val="24"/>
              </w:rPr>
            </w:pPr>
            <w:r>
              <w:rPr>
                <w:rFonts w:hint="eastAsia" w:eastAsia="仿宋_GB2312"/>
                <w:sz w:val="24"/>
              </w:rPr>
              <w:t>团中央青运史档案馆馆长</w:t>
            </w:r>
          </w:p>
        </w:tc>
      </w:tr>
    </w:tbl>
    <w:p>
      <w:pPr>
        <w:spacing w:line="320" w:lineRule="exact"/>
        <w:ind w:left="240" w:leftChars="-202" w:right="-340" w:rightChars="-162" w:hanging="664" w:hangingChars="277"/>
        <w:outlineLvl w:val="0"/>
        <w:rPr>
          <w:rFonts w:eastAsia="仿宋_GB2312"/>
          <w:color w:val="FF0000"/>
          <w:sz w:val="24"/>
          <w:shd w:val="clear" w:color="FFFFFF" w:fill="D9D9D9"/>
        </w:rPr>
      </w:pPr>
      <w:r>
        <w:rPr>
          <w:rFonts w:eastAsia="仿宋_GB2312"/>
          <w:color w:val="FF0000"/>
          <w:sz w:val="24"/>
          <w:shd w:val="clear" w:color="FFFFFF" w:fill="D9D9D9"/>
        </w:rPr>
        <w:t>说明：</w:t>
      </w:r>
      <w:r>
        <w:rPr>
          <w:rFonts w:hint="eastAsia" w:eastAsia="仿宋_GB2312"/>
          <w:color w:val="FF0000"/>
          <w:sz w:val="24"/>
          <w:shd w:val="clear" w:color="FFFFFF" w:fill="D9D9D9"/>
        </w:rPr>
        <w:t>上述为计划直播的主题，</w:t>
      </w:r>
      <w:r>
        <w:rPr>
          <w:rFonts w:eastAsia="仿宋_GB2312"/>
          <w:color w:val="FF0000"/>
          <w:sz w:val="24"/>
          <w:shd w:val="clear" w:color="FFFFFF" w:fill="D9D9D9"/>
        </w:rPr>
        <w:t>主讲人或有调整。</w:t>
      </w:r>
    </w:p>
    <w:p>
      <w:pPr>
        <w:widowControl/>
        <w:jc w:val="left"/>
        <w:rPr>
          <w:rFonts w:eastAsia="仿宋_GB2312"/>
          <w:sz w:val="24"/>
        </w:rPr>
      </w:pPr>
      <w:r>
        <w:rPr>
          <w:rFonts w:eastAsia="仿宋_GB2312"/>
          <w:sz w:val="24"/>
        </w:rPr>
        <w:br w:type="page"/>
      </w:r>
    </w:p>
    <w:p>
      <w:pPr>
        <w:spacing w:line="320" w:lineRule="exact"/>
        <w:ind w:left="240" w:leftChars="-202" w:right="-340" w:rightChars="-162" w:hanging="664" w:hangingChars="277"/>
        <w:outlineLvl w:val="0"/>
        <w:rPr>
          <w:rFonts w:eastAsia="仿宋_GB2312"/>
          <w:sz w:val="24"/>
          <w:shd w:val="clear" w:color="FFFFFF" w:fill="D9D9D9"/>
        </w:rPr>
      </w:pPr>
    </w:p>
    <w:p>
      <w:pPr>
        <w:spacing w:line="320" w:lineRule="exact"/>
        <w:ind w:left="243" w:leftChars="-202" w:right="-340" w:rightChars="-162" w:hanging="667" w:hangingChars="277"/>
        <w:outlineLvl w:val="0"/>
        <w:rPr>
          <w:rFonts w:ascii="Times New Roman" w:hAnsi="Times New Roman" w:eastAsia="仿宋_GB2312" w:cs="仿宋_GB2312"/>
          <w:b/>
          <w:bCs/>
          <w:color w:val="0000FF"/>
          <w:sz w:val="28"/>
          <w:szCs w:val="28"/>
        </w:rPr>
      </w:pPr>
      <w:r>
        <w:rPr>
          <w:rFonts w:ascii="Times New Roman" w:hAnsi="Times New Roman" w:eastAsia="仿宋_GB2312" w:cs="Times New Roman"/>
          <w:b/>
          <w:bCs/>
          <w:color w:val="000000"/>
          <w:sz w:val="24"/>
        </w:rPr>
        <w:t>表</w:t>
      </w:r>
      <w:r>
        <w:rPr>
          <w:rFonts w:hint="eastAsia" w:ascii="Times New Roman" w:hAnsi="Times New Roman" w:eastAsia="仿宋_GB2312" w:cs="Times New Roman"/>
          <w:b/>
          <w:bCs/>
          <w:color w:val="000000"/>
          <w:sz w:val="24"/>
        </w:rPr>
        <w:t>2</w:t>
      </w:r>
      <w:r>
        <w:rPr>
          <w:rFonts w:ascii="Times New Roman" w:hAnsi="Times New Roman" w:eastAsia="仿宋_GB2312" w:cs="Times New Roman"/>
          <w:b/>
          <w:bCs/>
          <w:color w:val="000000"/>
          <w:sz w:val="24"/>
        </w:rPr>
        <w:t xml:space="preserve"> 录播课程列表</w:t>
      </w:r>
      <w:r>
        <w:rPr>
          <w:rFonts w:hint="eastAsia" w:ascii="Times New Roman" w:hAnsi="Times New Roman" w:eastAsia="仿宋_GB2312" w:cs="仿宋_GB2312"/>
          <w:b/>
          <w:bCs/>
          <w:color w:val="0000FF"/>
          <w:sz w:val="28"/>
          <w:szCs w:val="28"/>
          <w:lang w:val="zh-TW"/>
        </w:rPr>
        <w:t>（</w:t>
      </w:r>
      <w:r>
        <w:rPr>
          <w:rFonts w:hint="eastAsia" w:ascii="Times New Roman" w:hAnsi="Times New Roman" w:eastAsia="仿宋_GB2312" w:cs="仿宋_GB2312"/>
          <w:b/>
          <w:bCs/>
          <w:color w:val="0000FF"/>
          <w:sz w:val="28"/>
          <w:szCs w:val="28"/>
        </w:rPr>
        <w:t>高校团干部培训课程列表</w:t>
      </w:r>
      <w:r>
        <w:rPr>
          <w:rFonts w:hint="eastAsia" w:ascii="Times New Roman" w:hAnsi="Times New Roman" w:eastAsia="仿宋_GB2312" w:cs="仿宋_GB2312"/>
          <w:b/>
          <w:bCs/>
          <w:color w:val="0000FF"/>
          <w:sz w:val="28"/>
          <w:szCs w:val="28"/>
          <w:lang w:val="zh-TW"/>
        </w:rPr>
        <w:t>）</w:t>
      </w:r>
    </w:p>
    <w:tbl>
      <w:tblPr>
        <w:tblStyle w:val="4"/>
        <w:tblW w:w="10230" w:type="dxa"/>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5"/>
        <w:gridCol w:w="3960"/>
        <w:gridCol w:w="96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模块</w:t>
            </w:r>
          </w:p>
        </w:tc>
        <w:tc>
          <w:tcPr>
            <w:tcW w:w="3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课程名称</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主讲人</w:t>
            </w:r>
          </w:p>
        </w:tc>
        <w:tc>
          <w:tcPr>
            <w:tcW w:w="430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习近平新时代中国特色社会主义思想</w:t>
            </w:r>
          </w:p>
        </w:tc>
        <w:tc>
          <w:tcPr>
            <w:tcW w:w="3960"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做人师与经师统一者——学习习近平总书记在中国人民大学考察时的重要讲话精神</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卢黎歌</w:t>
            </w:r>
          </w:p>
        </w:tc>
        <w:tc>
          <w:tcPr>
            <w:tcW w:w="4305"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西安交通大学马克思主义学院二级教授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6"/>
                <w:rFonts w:hint="eastAsia" w:ascii="仿宋_GB2312" w:hAnsi="仿宋_GB2312" w:eastAsia="仿宋_GB2312" w:cs="仿宋_GB2312"/>
                <w:sz w:val="24"/>
                <w:szCs w:val="24"/>
                <w:lang w:val="en-US" w:eastAsia="zh-CN" w:bidi="ar"/>
              </w:rPr>
              <w:t>习近平新时代中国特色社会主义思想</w:t>
            </w:r>
            <w:r>
              <w:rPr>
                <w:rStyle w:val="7"/>
                <w:rFonts w:hint="eastAsia" w:ascii="仿宋_GB2312" w:hAnsi="仿宋_GB2312" w:eastAsia="仿宋_GB2312" w:cs="仿宋_GB2312"/>
                <w:sz w:val="24"/>
                <w:szCs w:val="24"/>
                <w:lang w:val="en-US" w:eastAsia="zh-CN" w:bidi="ar"/>
              </w:rPr>
              <w:t>：马克思主义中国化新的飞跃</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胡</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敏</w:t>
            </w:r>
          </w:p>
        </w:tc>
        <w:tc>
          <w:tcPr>
            <w:tcW w:w="4305"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深入学习领会习近平总书记关于教育的重要论述</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邓传淮</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教育部政策法规司司长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习近平总书记教育重要论述讲义</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李文长</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国家教育行政学院原副院长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高校如何</w:t>
            </w:r>
            <w:r>
              <w:rPr>
                <w:rStyle w:val="6"/>
                <w:rFonts w:hint="eastAsia" w:ascii="仿宋_GB2312" w:hAnsi="仿宋_GB2312" w:eastAsia="仿宋_GB2312" w:cs="仿宋_GB2312"/>
                <w:sz w:val="24"/>
                <w:szCs w:val="24"/>
                <w:lang w:val="en-US" w:eastAsia="zh-CN" w:bidi="ar"/>
              </w:rPr>
              <w:t>贯彻落实党的教育方针</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巫志刚</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教育部政策法规司综合研究处处长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深入学习贯彻</w:t>
            </w:r>
            <w:r>
              <w:rPr>
                <w:rStyle w:val="6"/>
                <w:rFonts w:hint="eastAsia" w:ascii="仿宋_GB2312" w:hAnsi="仿宋_GB2312" w:eastAsia="仿宋_GB2312" w:cs="仿宋_GB2312"/>
                <w:sz w:val="24"/>
                <w:szCs w:val="24"/>
                <w:lang w:val="en-US" w:eastAsia="zh-CN" w:bidi="ar"/>
              </w:rPr>
              <w:t>习近平总书记关于数字经济发展的系列重要指示精神</w:t>
            </w:r>
            <w:r>
              <w:rPr>
                <w:rStyle w:val="7"/>
                <w:rFonts w:hint="eastAsia" w:ascii="仿宋_GB2312" w:hAnsi="仿宋_GB2312" w:eastAsia="仿宋_GB2312" w:cs="仿宋_GB2312"/>
                <w:sz w:val="24"/>
                <w:szCs w:val="24"/>
                <w:lang w:val="en-US" w:eastAsia="zh-CN" w:bidi="ar"/>
              </w:rPr>
              <w:t>，全面落实国家数字经济发展战略</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单志广</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国家信息中心信息化和产业发展部主任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坚持</w:t>
            </w:r>
            <w:r>
              <w:rPr>
                <w:rStyle w:val="6"/>
                <w:rFonts w:hint="eastAsia" w:ascii="仿宋_GB2312" w:hAnsi="仿宋_GB2312" w:eastAsia="仿宋_GB2312" w:cs="仿宋_GB2312"/>
                <w:sz w:val="24"/>
                <w:szCs w:val="24"/>
                <w:lang w:val="en-US" w:eastAsia="zh-CN" w:bidi="ar"/>
              </w:rPr>
              <w:t>习近平法治思想</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深入学习贯彻习近平总书记在中央全面依法治国工作会议上重要讲话精神</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胡锦光</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中国人民大学法学院副院长、教授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怎样理解“</w:t>
            </w:r>
            <w:r>
              <w:rPr>
                <w:rStyle w:val="6"/>
                <w:rFonts w:hint="eastAsia" w:ascii="仿宋_GB2312" w:hAnsi="仿宋_GB2312" w:eastAsia="仿宋_GB2312" w:cs="仿宋_GB2312"/>
                <w:sz w:val="24"/>
                <w:szCs w:val="24"/>
                <w:lang w:val="en-US" w:eastAsia="zh-CN" w:bidi="ar"/>
              </w:rPr>
              <w:t>两个确立</w:t>
            </w:r>
            <w:r>
              <w:rPr>
                <w:rStyle w:val="7"/>
                <w:rFonts w:hint="eastAsia" w:ascii="仿宋_GB2312" w:hAnsi="仿宋_GB2312" w:eastAsia="仿宋_GB2312" w:cs="仿宋_GB2312"/>
                <w:sz w:val="24"/>
                <w:szCs w:val="24"/>
                <w:lang w:val="en-US" w:eastAsia="zh-CN" w:bidi="ar"/>
              </w:rPr>
              <w:t>”的决定性意义</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胡</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敏</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党的二十大精神学习</w:t>
            </w: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认真学习党的二十大精神，开辟马克思主义中国化时代化新境界</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春</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书写全面建设社会主义现代化国家崭新篇章——深入学习贯彻党的二十大精神</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  敏</w:t>
            </w:r>
          </w:p>
        </w:tc>
        <w:tc>
          <w:tcPr>
            <w:tcW w:w="4305"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奋力谱写全面建设社会主义现代化国家崭新篇章——党的二十大报告精神导学 </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周文彰</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深化</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党史</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和</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团史</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学习</w:t>
            </w: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党的十九届六中全会暨《中共中央关于党的百年奋斗重大成就和历史经验的决议》总体解读</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春</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以史为鉴开创未来的纲领性文献</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王炳林</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北京师范大学中共党史党建研究院院长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中国共产党百年奋斗的历史意义</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  宣</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夺取新民主主义革命胜利的伟大意义</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赵朝峰</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完成社会主义革命和推进社会主义建设成就和意义</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周良书</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进行改革开放和社会主义现代化建设成就和意义</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宋学勤</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中国人民大学马克思主义学院副院长、教授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中国共产党百年奋斗的历史经验</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颜晓峰</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党领导中国青年运动的光辉历程</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胡献忠</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共青团中央青运史档案馆馆长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共青团百年奋斗历程及经验启示</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亮</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铭记五四历史，传承五四精神</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胡献忠</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共青团中央青运史档案馆馆长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团章</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团规</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和</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团务</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知识</w:t>
            </w: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新时代团章与团务</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亮</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以自我革命精神深入推进全面从严治团——《新时代全面从严治团实施纲要》解读</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刘俊彦</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中国青少年研究中心常务副主任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《中国共产主义青年团纪律处分条例（试行）》解读</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陈鹏飞</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中央团校(中国青年政治学院)教务部副主任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《中国共产主义青年团中央委员会工作条例》解读</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胡献忠</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共青团中央青运史档案馆馆长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6"/>
                <w:rFonts w:hint="eastAsia" w:ascii="仿宋_GB2312" w:hAnsi="仿宋_GB2312" w:eastAsia="仿宋_GB2312" w:cs="仿宋_GB2312"/>
                <w:sz w:val="24"/>
                <w:szCs w:val="24"/>
                <w:lang w:val="en-US" w:eastAsia="zh-CN" w:bidi="ar"/>
              </w:rPr>
              <w:t>《中国共产主义青年团干部教育培训工作条例(试行)》</w:t>
            </w:r>
            <w:r>
              <w:rPr>
                <w:rStyle w:val="7"/>
                <w:rFonts w:hint="eastAsia" w:ascii="仿宋_GB2312" w:hAnsi="仿宋_GB2312" w:eastAsia="仿宋_GB2312" w:cs="仿宋_GB2312"/>
                <w:sz w:val="24"/>
                <w:szCs w:val="24"/>
                <w:lang w:val="en-US" w:eastAsia="zh-CN" w:bidi="ar"/>
              </w:rPr>
              <w:t>解读</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陈鹏飞</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中央团校(中国青年政治学院)教务部副主任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共青团</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和</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青年</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学生</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工作</w:t>
            </w: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如何做好新时期群团工作——学习习近平总书记对群团改革工作的重要指示</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洪向华</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中央党校</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国家行政学院</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督学、教授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学校共青团工作研究的重点与任务</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秦</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涛</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全国学校共青团研究中心副主任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网上共青团工作实践与创新发展</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崔</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艳</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中国社会科学院大学媒体学院广播电视教研室主任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正确认识当代青年思想和行为特点，做好新时代党的青年群众工作</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吴</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庆</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中央团校</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中国青年政治学院</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共青团工作理论研究所所长、教授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大学人才培养与教育改革：理念与实践</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柯炳生</w:t>
            </w:r>
          </w:p>
        </w:tc>
        <w:tc>
          <w:tcPr>
            <w:tcW w:w="430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中国农业大学原校长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大学生健康成长与共青团工作</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吴</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庆</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中央团校</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中国青年政治学院</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共青团工作理论研究所所长、教授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青年</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干部</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综合</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能力</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提升</w:t>
            </w: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习近平总书记关于青年干部成长的重要论述</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刘长军</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新时代青年干部如何践行务实担当精神</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吴</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庆</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中央团校</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中国青年政治学院</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共青团工作理论研究所所长、教授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共青团干部魅力提升</w:t>
            </w:r>
            <w:r>
              <w:rPr>
                <w:rStyle w:val="8"/>
                <w:rFonts w:hint="eastAsia" w:ascii="仿宋_GB2312" w:hAnsi="仿宋_GB2312" w:eastAsia="仿宋_GB2312" w:cs="仿宋_GB2312"/>
                <w:sz w:val="24"/>
                <w:szCs w:val="24"/>
                <w:lang w:val="en-US" w:eastAsia="zh-CN" w:bidi="ar"/>
              </w:rPr>
              <w:t>12</w:t>
            </w:r>
            <w:r>
              <w:rPr>
                <w:rStyle w:val="7"/>
                <w:rFonts w:hint="eastAsia" w:ascii="仿宋_GB2312" w:hAnsi="仿宋_GB2312" w:eastAsia="仿宋_GB2312" w:cs="仿宋_GB2312"/>
                <w:sz w:val="24"/>
                <w:szCs w:val="24"/>
                <w:lang w:val="en-US" w:eastAsia="zh-CN" w:bidi="ar"/>
              </w:rPr>
              <w:t>法</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吴</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庆</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中央团校</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中国青年政治学院</w:t>
            </w:r>
            <w:r>
              <w:rPr>
                <w:rStyle w:val="8"/>
                <w:rFonts w:hint="eastAsia" w:ascii="仿宋_GB2312" w:hAnsi="仿宋_GB2312" w:eastAsia="仿宋_GB2312" w:cs="仿宋_GB2312"/>
                <w:sz w:val="24"/>
                <w:szCs w:val="24"/>
                <w:lang w:val="en-US" w:eastAsia="zh-CN" w:bidi="ar"/>
              </w:rPr>
              <w:t>)</w:t>
            </w:r>
            <w:r>
              <w:rPr>
                <w:rStyle w:val="7"/>
                <w:rFonts w:hint="eastAsia" w:ascii="仿宋_GB2312" w:hAnsi="仿宋_GB2312" w:eastAsia="仿宋_GB2312" w:cs="仿宋_GB2312"/>
                <w:sz w:val="24"/>
                <w:szCs w:val="24"/>
                <w:lang w:val="en-US" w:eastAsia="zh-CN" w:bidi="ar"/>
              </w:rPr>
              <w:t>共青团工作理论研究所所长、教授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共青团干部综合素质——高校团干部的时代坐标</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刘世保</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提升领导干部分析解决实际问题的能力</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胡月星</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中共中央党校（国家行政学院）党的建设教研部领导科学教研室主任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鬼谷子沟通的艺术</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冯德林</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竺可桢文化发展中心国学院院长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网络互联时代与心理健康促进</w:t>
            </w:r>
          </w:p>
        </w:tc>
        <w:tc>
          <w:tcPr>
            <w:tcW w:w="96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7"/>
                <w:rFonts w:hint="eastAsia" w:ascii="仿宋_GB2312" w:hAnsi="仿宋_GB2312" w:eastAsia="仿宋_GB2312" w:cs="仿宋_GB2312"/>
                <w:sz w:val="24"/>
                <w:szCs w:val="24"/>
                <w:lang w:val="en-US" w:eastAsia="zh-CN" w:bidi="ar"/>
              </w:rPr>
              <w:t>雷</w:t>
            </w:r>
            <w:r>
              <w:rPr>
                <w:rStyle w:val="8"/>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雳</w:t>
            </w:r>
          </w:p>
        </w:tc>
        <w:tc>
          <w:tcPr>
            <w:tcW w:w="430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中国人民大学心理学系教授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396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公文规范与创新写作实战策略</w:t>
            </w:r>
          </w:p>
        </w:tc>
        <w:tc>
          <w:tcPr>
            <w:tcW w:w="96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郑劲松</w:t>
            </w:r>
          </w:p>
        </w:tc>
        <w:tc>
          <w:tcPr>
            <w:tcW w:w="4305"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西南大学档案馆馆长</w:t>
            </w:r>
          </w:p>
        </w:tc>
      </w:tr>
    </w:tbl>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widowControl/>
        <w:jc w:val="left"/>
        <w:rPr>
          <w:rFonts w:ascii="Times New Roman" w:hAnsi="Times New Roman" w:eastAsia="仿宋_GB2312" w:cs="Times New Roman"/>
          <w:b/>
          <w:bCs/>
          <w:color w:val="000000"/>
          <w:sz w:val="24"/>
        </w:rPr>
      </w:pPr>
      <w:r>
        <w:rPr>
          <w:rFonts w:ascii="Times New Roman" w:hAnsi="Times New Roman" w:eastAsia="仿宋_GB2312" w:cs="Times New Roman"/>
          <w:b/>
          <w:bCs/>
          <w:color w:val="000000"/>
          <w:sz w:val="24"/>
        </w:rPr>
        <w:br w:type="page"/>
      </w:r>
    </w:p>
    <w:p>
      <w:pPr>
        <w:spacing w:line="320" w:lineRule="exact"/>
        <w:ind w:left="2" w:leftChars="-200" w:right="-340" w:rightChars="-162" w:hanging="422" w:hangingChars="175"/>
        <w:outlineLvl w:val="0"/>
        <w:rPr>
          <w:rFonts w:ascii="Times New Roman" w:hAnsi="Times New Roman" w:eastAsia="仿宋_GB2312" w:cs="Times New Roman"/>
          <w:b/>
          <w:bCs/>
          <w:color w:val="000000"/>
          <w:sz w:val="24"/>
        </w:rPr>
      </w:pPr>
    </w:p>
    <w:p>
      <w:pPr>
        <w:spacing w:line="320" w:lineRule="exact"/>
        <w:ind w:left="2" w:leftChars="-200" w:right="-340" w:rightChars="-162" w:hanging="422" w:hangingChars="175"/>
        <w:outlineLvl w:val="0"/>
        <w:rPr>
          <w:rFonts w:ascii="Times New Roman" w:hAnsi="Times New Roman" w:eastAsia="仿宋_GB2312" w:cs="仿宋_GB2312"/>
          <w:b/>
          <w:bCs/>
          <w:color w:val="0000FF"/>
          <w:sz w:val="28"/>
          <w:szCs w:val="28"/>
        </w:rPr>
      </w:pPr>
      <w:r>
        <w:rPr>
          <w:rFonts w:ascii="Times New Roman" w:hAnsi="Times New Roman" w:eastAsia="仿宋_GB2312" w:cs="Times New Roman"/>
          <w:b/>
          <w:bCs/>
          <w:color w:val="000000"/>
          <w:sz w:val="24"/>
        </w:rPr>
        <w:t>表</w:t>
      </w:r>
      <w:r>
        <w:rPr>
          <w:rFonts w:hint="eastAsia" w:ascii="Times New Roman" w:hAnsi="Times New Roman" w:eastAsia="仿宋_GB2312" w:cs="Times New Roman"/>
          <w:b/>
          <w:bCs/>
          <w:color w:val="000000"/>
          <w:sz w:val="24"/>
        </w:rPr>
        <w:t>3</w:t>
      </w:r>
      <w:r>
        <w:rPr>
          <w:rFonts w:ascii="Times New Roman" w:hAnsi="Times New Roman" w:eastAsia="仿宋_GB2312" w:cs="Times New Roman"/>
          <w:b/>
          <w:bCs/>
          <w:color w:val="000000"/>
          <w:sz w:val="24"/>
        </w:rPr>
        <w:t xml:space="preserve"> 录播课程列表</w:t>
      </w:r>
      <w:r>
        <w:rPr>
          <w:rFonts w:hint="eastAsia" w:ascii="Times New Roman" w:hAnsi="Times New Roman" w:eastAsia="仿宋_GB2312" w:cs="仿宋_GB2312"/>
          <w:b/>
          <w:bCs/>
          <w:color w:val="0000FF"/>
          <w:sz w:val="28"/>
          <w:szCs w:val="28"/>
          <w:lang w:val="zh-TW"/>
        </w:rPr>
        <w:t>（“</w:t>
      </w:r>
      <w:r>
        <w:rPr>
          <w:rFonts w:hint="eastAsia" w:ascii="Times New Roman" w:hAnsi="Times New Roman" w:eastAsia="仿宋_GB2312" w:cs="仿宋_GB2312"/>
          <w:b/>
          <w:bCs/>
          <w:color w:val="0000FF"/>
          <w:sz w:val="28"/>
          <w:szCs w:val="28"/>
        </w:rPr>
        <w:t>青马工程</w:t>
      </w:r>
      <w:r>
        <w:rPr>
          <w:rFonts w:hint="eastAsia" w:ascii="Times New Roman" w:hAnsi="Times New Roman" w:eastAsia="仿宋_GB2312" w:cs="仿宋_GB2312"/>
          <w:b/>
          <w:bCs/>
          <w:color w:val="0000FF"/>
          <w:sz w:val="28"/>
          <w:szCs w:val="28"/>
          <w:lang w:val="zh-TW"/>
        </w:rPr>
        <w:t>”、</w:t>
      </w:r>
      <w:r>
        <w:rPr>
          <w:rFonts w:hint="eastAsia" w:ascii="Times New Roman" w:hAnsi="Times New Roman" w:eastAsia="仿宋_GB2312" w:cs="仿宋_GB2312"/>
          <w:b/>
          <w:bCs/>
          <w:color w:val="0000FF"/>
          <w:sz w:val="28"/>
          <w:szCs w:val="28"/>
        </w:rPr>
        <w:t>大学生骨干培训课程列表</w:t>
      </w:r>
      <w:r>
        <w:rPr>
          <w:rFonts w:hint="eastAsia" w:ascii="Times New Roman" w:hAnsi="Times New Roman" w:eastAsia="仿宋_GB2312" w:cs="仿宋_GB2312"/>
          <w:b/>
          <w:bCs/>
          <w:color w:val="0000FF"/>
          <w:sz w:val="28"/>
          <w:szCs w:val="28"/>
          <w:lang w:val="zh-TW"/>
        </w:rPr>
        <w:t>）</w:t>
      </w:r>
    </w:p>
    <w:tbl>
      <w:tblPr>
        <w:tblStyle w:val="4"/>
        <w:tblW w:w="964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5"/>
        <w:gridCol w:w="4290"/>
        <w:gridCol w:w="10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模块</w:t>
            </w:r>
          </w:p>
        </w:tc>
        <w:tc>
          <w:tcPr>
            <w:tcW w:w="4290"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课程名称</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主讲人</w:t>
            </w:r>
          </w:p>
        </w:tc>
        <w:tc>
          <w:tcPr>
            <w:tcW w:w="331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习近平新时代中国特色社会主义思想</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如何做好新时期群团工作——学习习近平总书记对群团改革工作的重要指示</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洪向华</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中共中央党校（国家行政学院）党的建设教研部教授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马克思主义中国化新的飞跃</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辛向阳</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中国社会科学院马克思主义研究院党委书记、副院长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中国共产党的精神之源——坚持真理、坚守理想，践行初心、担当使命，不怕牺牲、英勇斗争，对党忠诚、不负人民的伟大建党精神</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  敏</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怎样理解“两个确立”的决定性意义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  敏</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中共中央党校(国家行政学院)《学习时报社》副社长、研究员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弘扬中华民族精神，铸牢中华民族共同体意识</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军</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中央民族大学中国民族理论与民族政策研究院副院长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以史为鉴、开创未来，必须继续推进马克思主义中国化</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邓纯东</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中国社会科学院马克思主义研究院原党委书记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以史为鉴、开创未来，必须不断推动构建人类命运共同体</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罗建波</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中共中央党校（国家行政学院）国际战略研究院教授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党的二十大精神学习</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认真学习党的二十大精神，开辟马克思主义中国化时代化新境界</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春</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书写全面建设社会主义现代化国家崭新篇章——深入学习贯彻党的二十大精神</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  敏</w:t>
            </w:r>
          </w:p>
        </w:tc>
        <w:tc>
          <w:tcPr>
            <w:tcW w:w="3315" w:type="dxa"/>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中共中央党校（国家行政学院）习近平新时代中国特色社会主义思想研究中心研究员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奋力谱写全面建设社会主义现代化国家崭新篇章——党的二十大报告精神导学 </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周文彰</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深化党史学习教育</w:t>
            </w: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党的十九届六中全会暨《中共中央关于党的百年奋斗重大成就和历史经验的决议》总体解读</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  春</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以史为鉴开创未来的纲领性文献</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王炳林</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北京师范大学中共党史党建研究院院长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中国共产党与三个历史决议</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祝  彦</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中央党校(国家行政学院)党史教研部教授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中国共产党百年奋斗的历史意义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  宣</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夺取新民主主义革命胜利的伟大意义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赵朝峰</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完成社会主义革命和推进社会主义建设成就和意义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周良书</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进行改革开放和社会主义现代化建设成就和意义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宋学勤</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中国人民大学马克思主义学院副院长、教授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中国共产党百年奋斗的历史经验</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颜晓峰</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天津大学马克思主义学院院长、教授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学习“四史”  坚定中国特色社会主义“四个自信”</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  刚</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南京师范大学马克思主义学院院长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新青年·习党史</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亮</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南京大学研究生院副院长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团史</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团情</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和</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团的</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知识</w:t>
            </w: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党领导中国青年运动的光辉历程</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胡献忠</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共青团中央青运史档案馆馆长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铭记五四历史，传承五四精神</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胡献忠</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共青团中央青运史档案馆馆长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中国共产主义青年团的奋斗历程</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赵婧姝</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中央团校助理研究员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我的青春我的团——走进百年团史</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微  课</w:t>
            </w:r>
          </w:p>
        </w:tc>
        <w:tc>
          <w:tcPr>
            <w:tcW w:w="3315" w:type="dxa"/>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新时代团章与团务</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  亮</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新版团章“新”在哪</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微  课</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以自我革命精神深入推进全面从严治团——《新时代全面从严治团实施纲要》解读</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刘俊彦</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中国青少年研究中心常务副主任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《中国共产主义青年团纪律处分条例（试行）》解读</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陈鹏飞</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中央团校(中国青年政治学院)教务部副主任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学生干部创新思维培养</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  庆</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中央团校(中国青年政治学院)共青团工作理论研究所所长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爱国主义教育和理想信念教育</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近年来我国社会主要思潮评析</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汪亭友</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建设具有强大凝聚力和引领力的社会主义意识形态</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寇清杰</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南开大学马克思主义学院教授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如何实现中国特色社会主义理论体系有效引领网络社会思潮</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刘少杰</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中国人民大学社会学理论与方法研究中心主任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文化自信与社会主义核心价值观建设</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  军</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中共中央党校（国家行政学院）文史教研部副主任，教授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新时代如何弘扬爱国主义精神——《新时代爱国主义教育实施纲要》解读</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马振清</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北京师范大学马克思主义学院思想政治教育教研室主任，教授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弘扬新时代的爱国主义</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孙  芳</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华北电力大学马克思主义学院教授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讲好“初心”故事，坚定理想信念——“党的诞生地”红色文化浸润下的理想信念教育</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张桁嘉</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同济大学交通运输工程学院团委副书记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挺起共产党人的精神脊梁——学习习近平总书记关于坚定理想信念的重要论述</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陈冬生</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中共中央党校（国家行政学院）马克思主义理论教研部研究室主任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《共产党宣言》与共产党人的理想信念</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王海滨</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中共中央党校（国家行政学院）马克思主义学院副教授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坚定理想信念 做忠诚的青年马克思主义者</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  培</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首都经济贸易大学原党委书记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“互联网+”时代，如何讲好中国故事、传播好中国声音</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史安斌</w:t>
            </w:r>
          </w:p>
        </w:tc>
        <w:tc>
          <w:tcPr>
            <w:tcW w:w="3315" w:type="dxa"/>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清华大学新闻与传播学院副院长，教授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心理健康教育与创新</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创业教育</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当代大学生心理的深度认识与了解</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章劲元</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华中科技大学心理健康教育中心主任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大学生心理危机的信号识别和干预</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  莉</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中国人民大学心理健康教育与咨询中心副教授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天生我材必有用一一和大学生朋友谈就业</w:t>
            </w:r>
          </w:p>
        </w:tc>
        <w:tc>
          <w:tcPr>
            <w:tcW w:w="1035" w:type="dxa"/>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蔡红建</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北京交通大学马克思主义学院党委书记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如何吸引优秀教育人才——大学生择业意向调查</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赵殿涛</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北京市海淀区教育人才中心主任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大学生职业生涯规划与就业指导能力锻造</w:t>
            </w:r>
            <w:r>
              <w:rPr>
                <w:rStyle w:val="10"/>
                <w:rFonts w:hint="eastAsia" w:ascii="仿宋_GB2312" w:hAnsi="仿宋_GB2312" w:eastAsia="仿宋_GB2312" w:cs="仿宋_GB2312"/>
                <w:sz w:val="24"/>
                <w:szCs w:val="24"/>
                <w:lang w:val="en-US" w:eastAsia="zh-CN" w:bidi="ar"/>
              </w:rPr>
              <w:t xml:space="preserve"> </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田振敏</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西南大学招生就业处就业指导与管理科科长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高校创新创业教育模式与实践</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陈霞玲</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国家教育行政学院学校管理教研部副研究员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与祖国同向同行，助力乡村振兴——研究生支教团相关政策解读及志愿者日常服务管理、工作纪律和安全健康教育</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杨业功</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团中央青年志愿者行动指导中心项目管理处处长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职场礼仪与职业形象</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  静</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北京理工大学就业指导中心主任助理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5"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演讲口才与思维智慧</w:t>
            </w:r>
          </w:p>
        </w:tc>
        <w:tc>
          <w:tcPr>
            <w:tcW w:w="10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郑劲松</w:t>
            </w:r>
          </w:p>
        </w:tc>
        <w:tc>
          <w:tcPr>
            <w:tcW w:w="3315"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西南大学档案馆馆长</w:t>
            </w:r>
          </w:p>
        </w:tc>
      </w:tr>
    </w:tbl>
    <w:p>
      <w:pPr>
        <w:spacing w:before="159" w:beforeLines="50"/>
        <w:jc w:val="left"/>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说明</w:t>
      </w:r>
      <w:r>
        <w:rPr>
          <w:rFonts w:ascii="Times New Roman" w:hAnsi="Times New Roman" w:eastAsia="仿宋_GB2312" w:cs="Times New Roman"/>
          <w:b/>
          <w:bCs/>
          <w:sz w:val="24"/>
          <w:szCs w:val="24"/>
        </w:rPr>
        <w:t>：</w:t>
      </w:r>
      <w:r>
        <w:rPr>
          <w:rFonts w:ascii="Times New Roman" w:hAnsi="Times New Roman" w:eastAsia="仿宋_GB2312" w:cs="Times New Roman"/>
          <w:bCs/>
          <w:sz w:val="24"/>
          <w:szCs w:val="24"/>
        </w:rPr>
        <w:t>1.</w:t>
      </w:r>
      <w:r>
        <w:rPr>
          <w:rFonts w:ascii="Times New Roman" w:hAnsi="Times New Roman" w:eastAsia="仿宋_GB2312" w:cs="Times New Roman"/>
          <w:sz w:val="24"/>
          <w:szCs w:val="24"/>
        </w:rPr>
        <w:t>个别课程或稍有调整，请以平台最终发布课程为准；</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2.课程主讲人职务为课程录制时的职务。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mIyMTIyODY2MTk4OGRkOTI1YzI5MTE1Y2Q5ZDkifQ=="/>
  </w:docVars>
  <w:rsids>
    <w:rsidRoot w:val="12EE0742"/>
    <w:rsid w:val="12EE0742"/>
    <w:rsid w:val="1FA8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Lines="100" w:afterLines="100" w:line="360" w:lineRule="auto"/>
      <w:jc w:val="center"/>
      <w:outlineLvl w:val="0"/>
    </w:pPr>
    <w:rPr>
      <w:rFonts w:ascii="Calibri" w:hAnsi="Calibri" w:eastAsia="宋体" w:cs="Arial"/>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61"/>
    <w:basedOn w:val="5"/>
    <w:qFormat/>
    <w:uiPriority w:val="0"/>
    <w:rPr>
      <w:rFonts w:hint="eastAsia" w:ascii="黑体" w:hAnsi="宋体" w:eastAsia="黑体" w:cs="黑体"/>
      <w:color w:val="000000"/>
      <w:sz w:val="24"/>
      <w:szCs w:val="24"/>
      <w:u w:val="none"/>
    </w:rPr>
  </w:style>
  <w:style w:type="character" w:customStyle="1" w:styleId="7">
    <w:name w:val="font41"/>
    <w:basedOn w:val="5"/>
    <w:qFormat/>
    <w:uiPriority w:val="0"/>
    <w:rPr>
      <w:rFonts w:hint="eastAsia" w:ascii="仿宋_GB2312" w:eastAsia="仿宋_GB2312" w:cs="仿宋_GB2312"/>
      <w:color w:val="000000"/>
      <w:sz w:val="24"/>
      <w:szCs w:val="24"/>
      <w:u w:val="none"/>
    </w:rPr>
  </w:style>
  <w:style w:type="character" w:customStyle="1" w:styleId="8">
    <w:name w:val="font101"/>
    <w:basedOn w:val="5"/>
    <w:qFormat/>
    <w:uiPriority w:val="0"/>
    <w:rPr>
      <w:rFonts w:hint="default" w:ascii="Times New Roman" w:hAnsi="Times New Roman" w:cs="Times New Roman"/>
      <w:color w:val="000000"/>
      <w:sz w:val="24"/>
      <w:szCs w:val="24"/>
      <w:u w:val="none"/>
    </w:rPr>
  </w:style>
  <w:style w:type="character" w:customStyle="1" w:styleId="9">
    <w:name w:val="font71"/>
    <w:basedOn w:val="5"/>
    <w:qFormat/>
    <w:uiPriority w:val="0"/>
    <w:rPr>
      <w:rFonts w:hint="eastAsia" w:ascii="宋体" w:hAnsi="宋体" w:eastAsia="宋体" w:cs="宋体"/>
      <w:color w:val="000000"/>
      <w:sz w:val="24"/>
      <w:szCs w:val="24"/>
      <w:u w:val="none"/>
    </w:rPr>
  </w:style>
  <w:style w:type="character" w:customStyle="1" w:styleId="10">
    <w:name w:val="font81"/>
    <w:basedOn w:val="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2022-11-30T13:56:00Z</dcterms:created>
  <dc:creator>一叶编舟</dc:creator>
  <cp:lastModifiedBy>一叶编舟</cp:lastModifiedBy>
  <dcterms:modified xsi:type="dcterms:W3CDTF">2022-11-30T13:56:24Z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D7057CFEFFA44BD4BCF95054EE416D4D</vt:lpwstr>
  </property>
</Properties>
</file>