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Start w:id="2" w:name="_GoBack"/>
      <w:bookmarkEnd w:id="2"/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Hlk48199978"/>
      <w:r>
        <w:rPr>
          <w:rFonts w:hint="default" w:ascii="Times New Roman" w:hAnsi="Times New Roman" w:eastAsia="方正小标宋简体" w:cs="Times New Roman"/>
          <w:sz w:val="32"/>
          <w:szCs w:val="32"/>
        </w:rPr>
        <w:t>2023年职教讲坛——深化“三教”改革，助推职业教育高质量发展系列专题网络培训计划列表</w:t>
      </w:r>
      <w:bookmarkEnd w:id="0"/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648"/>
        <w:gridCol w:w="2494"/>
        <w:gridCol w:w="18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00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高职院校“三教”改革系列专题培训计划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6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1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80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培训对象</w:t>
            </w:r>
          </w:p>
        </w:tc>
        <w:tc>
          <w:tcPr>
            <w:tcW w:w="660" w:type="pct"/>
            <w:shd w:val="clear" w:color="auto" w:fill="FFFFFF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学习时长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1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备好课、做好课、讲好课——2023年高职学校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新入职教师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网络培训</w:t>
            </w:r>
          </w:p>
        </w:tc>
        <w:tc>
          <w:tcPr>
            <w:tcW w:w="8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新入职教师（原则上入职三年以内）</w:t>
            </w:r>
          </w:p>
        </w:tc>
        <w:tc>
          <w:tcPr>
            <w:tcW w:w="66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1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对接新标准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，为教师职业生涯发展添彩”——2023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年高职学校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“双师型”教师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职业能力提升与专业化发展专题网络培训</w:t>
            </w:r>
          </w:p>
        </w:tc>
        <w:tc>
          <w:tcPr>
            <w:tcW w:w="8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“双师型”教师</w:t>
            </w:r>
          </w:p>
        </w:tc>
        <w:tc>
          <w:tcPr>
            <w:tcW w:w="66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Toc80114352"/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1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“解析优秀团队发展规律，探索共同体建设范式”——2023年职业院校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教师教学创新团队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建设专题网络培训</w:t>
            </w:r>
          </w:p>
        </w:tc>
        <w:tc>
          <w:tcPr>
            <w:tcW w:w="8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教师教学创新团队负责人、骨干教师</w:t>
            </w:r>
          </w:p>
        </w:tc>
        <w:tc>
          <w:tcPr>
            <w:tcW w:w="66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1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“打造特色金课，锻造职教金师”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职业教育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精品在线课程与教学资源库建设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应用专题网络培训</w:t>
            </w:r>
          </w:p>
        </w:tc>
        <w:tc>
          <w:tcPr>
            <w:tcW w:w="8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66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1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“岗课赛证”融通背景下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新形态教材开发与建设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专题网络培训</w:t>
            </w:r>
          </w:p>
        </w:tc>
        <w:tc>
          <w:tcPr>
            <w:tcW w:w="8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66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1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以赛促教，赛教融合,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助力教师教学能力提升”专题网络培训</w:t>
            </w:r>
          </w:p>
        </w:tc>
        <w:tc>
          <w:tcPr>
            <w:tcW w:w="8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66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b w:val="0"/>
          <w:bCs w:val="0"/>
          <w:kern w:val="0"/>
          <w:sz w:val="24"/>
          <w:szCs w:val="24"/>
          <w:shd w:val="clear" w:fill="D7D7D7" w:themeFill="background1" w:themeFillShade="D8"/>
          <w:lang w:val="en-US" w:eastAsia="zh-CN" w:bidi="ar-SA"/>
        </w:rPr>
        <w:sectPr>
          <w:headerReference r:id="rId3" w:type="first"/>
          <w:footerReference r:id="rId5" w:type="firs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648"/>
        <w:gridCol w:w="2494"/>
        <w:gridCol w:w="18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0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  <w:t>二、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  <w:t>中职学校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“三教”改革系列专题培训计划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培训对象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学习时长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学习费用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“对接新标准，为教师职业生涯发展添彩”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中职学校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“双师型”教师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职业能力提升与专业化发展专题网络培训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“双师型”教师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/3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提升课堂管理能力，塑造“阳光心态”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中职学校教师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课堂管理和心理健康维护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专题网络培训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/3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701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“解析优秀团队发展规律，探索共同体建设范式”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——2023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年职业院校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教师教学创新团队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建设专题网络培训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教师教学创新团队负责人、骨干教师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/3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“岗课赛证”融通背景下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新形态教材开发与建设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专题网络培训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/3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“打造特色金课，锻造职教金师”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职业教育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精品在线课程与教学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资源库建设应用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专题网络培训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/3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70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“课堂革命”视野下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模块化教学实施与课堂教学质量提升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专题网络培训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教师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/3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701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以赛促教，赛教融合,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助力教师教学能力提升”专题网络培训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/3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个月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sz w:val="28"/>
        <w:szCs w:val="32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 w:eastAsiaTheme="minorEastAsia"/>
        <w:sz w:val="24"/>
        <w:szCs w:val="24"/>
        <w:lang w:val="en-US" w:eastAsia="zh-CN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sz w:val="28"/>
        <w:szCs w:val="32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 w:eastAsiaTheme="minorEastAsia"/>
        <w:sz w:val="24"/>
        <w:szCs w:val="24"/>
        <w:lang w:val="en-US" w:eastAsia="zh-CN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0CBC48B8"/>
    <w:rsid w:val="0CB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2023-03-08T05:21:00Z</dcterms:created>
  <dc:creator>一叶编舟</dc:creator>
  <cp:lastModifiedBy>一叶编舟</cp:lastModifiedBy>
  <dcterms:modified xsi:type="dcterms:W3CDTF">2023-03-08T05:21:47Z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7CB7ADC7D6714956A769B3BC55C8F2E1</vt:lpwstr>
  </property>
</Properties>
</file>