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ind w:left="-822" w:leftChars="-295" w:right="651" w:hanging="4" w:firstLineChars="0"/>
        <w:jc w:val="left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eastAsia="黑体" w:cs="Times New Roman"/>
          <w:sz w:val="30"/>
          <w:szCs w:val="30"/>
          <w:lang w:eastAsia="zh-CN"/>
        </w:rPr>
        <w:t>1</w:t>
      </w:r>
    </w:p>
    <w:p>
      <w:pPr>
        <w:ind w:firstLine="0" w:firstLineChars="0"/>
        <w:jc w:val="center"/>
        <w:textAlignment w:val="baseline"/>
        <w:rPr>
          <w:rFonts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大学生法治意识与法治精神培育专题</w:t>
      </w:r>
    </w:p>
    <w:p>
      <w:pPr>
        <w:ind w:firstLine="0" w:firstLineChars="0"/>
        <w:jc w:val="center"/>
        <w:textAlignment w:val="baseline"/>
        <w:rPr>
          <w:rFonts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eastAsia="zh-CN"/>
        </w:rPr>
        <w:t>网络培训课程列表</w:t>
      </w:r>
    </w:p>
    <w:tbl>
      <w:tblPr>
        <w:tblStyle w:val="3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157"/>
        <w:gridCol w:w="1071"/>
        <w:gridCol w:w="2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课程模块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课程名称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主讲人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主讲人单位及职务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习近平法治思想核心要义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习近平法治思想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周佑勇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《习近平法治思想学习纲要》学习辅导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胡锦光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中国人民大学法学院副院长、教授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党的领导是推进全面依法治国的根本保证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冯玉军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中国人民大学法学院教授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推进全面依法治国，坚持以人民为中心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杨伟东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中共中央党校（国家行政学院）政治和法律教研部副主任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坚持中国特色社会主义法治道路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王敬波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对外经贸大学副校长、原中国政法大学法治政府研究院院长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推进全面依法治国 坚持依宪治国、依宪执政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李  忠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中国社科院法学所法治战略研究部主任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提高行政执法能力，夯实国家治理现代化的法治基础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支振锋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中国社科院法学研究所研究员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坚持建设中国特色社会主义法治体系，推进全面依法治国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王  勇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中共中央党校（国家行政学院）政治和法律教研部宪法室主任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坚持依法治国、依法执政、依法行政共同推进，法治国家、法治政府、法治社会一体建设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姚国建</w:t>
            </w:r>
          </w:p>
        </w:tc>
        <w:tc>
          <w:tcPr>
            <w:tcW w:w="269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中国政法大学宪法研究所所长、教授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坚持全面推进科学立法、严格执法、公正司法、全民守法，推进全面依法治国向纵深发展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坚持统筹推进国内法治和涉外法治，更好维护国家主权、安全和发展利益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莫纪宏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中国社会科学院国际法研究所所长、研究员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坚持建设德才兼备的高素质法治工作队伍 做强全面依法治国的人才支撑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王明杰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中国政法大学人力资源管理与创新发展研究中心主任、教授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推进全面依法治国，坚持抓住领导干部这个“关键少数”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任  进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中共中央党校(国家行政学院)政治和法律教研部教授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宪法、民法典及相关法律法规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宪法实施的理论与实践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王  勇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中共中央党校（国家行政学院）教授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国家治理的深刻革命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李  勇</w:t>
            </w:r>
          </w:p>
        </w:tc>
        <w:tc>
          <w:tcPr>
            <w:tcW w:w="269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中共中央党校（国家行政学院）政治和法律教研部教授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完善以宪法为核心的中国特色社会主义法律体系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扎实推进依法行政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严格公正司法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加快建设法治社会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为什么要学宪法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为什么必须尊崇宪法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中国宪法的由来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为什么要实行宪法宣誓制度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载入新时代的2018年宪法修正案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宪法序言是否具有最高法律效力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宪法总纲到底讲了些什么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宪法如何规定公民的基本权利和义务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宪法如何规定国家权力机构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宪法如何规定国家行政机构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宪法为何增设国家监察机构的规定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宪法如何规定国家司法机构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宪法如何规定国家主席与中央军委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宪法如何规定国旗、国歌、国徽和首都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微 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民法典总则编解读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于  飞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中国政法大学民商经济法学院院长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民法典中的个人信息保护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薛  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国家开放大学政法教学部法学院教师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宪法、民法典及相关法律法规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民法典中的婚姻家庭编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薛宁兰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中国社会科学院法学研究所社会法室主任、研究员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民法典物权编解读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李伟民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北京市物权研究会常务理事、副秘书长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《中华人民共和国行政处罚法》(2021修订)解读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余凌云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清华大学法学院副院长，教授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压实反间谍安全防范工作责任，更好地组织动员全社会力量打好反间谍“人民战争”——《反间谍安全防范工作规定》解读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秦  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中国警察法学研究会反恐与网络安全治理专委会常委副主任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教育及相关法律法规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教育法治进程中的《教育法》修改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龚向和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东南大学法学院教授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提高法律意识与素质，有效防范法律风险——《高等教育法规概论》学习解读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张  冉</w:t>
            </w:r>
          </w:p>
        </w:tc>
        <w:tc>
          <w:tcPr>
            <w:tcW w:w="269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北京大学教育学院副教授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学位法律制度及学位纠纷案例对高校管理和教学的启示</w:t>
            </w: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269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用好学规这把戒尺，提高人才培养质量——高校学生管理规定解读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解汉林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ind w:firstLine="48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教育部学生司学籍学历管理处处长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《关于规范高等学校SCI论文相关指标使用树立正确评价导向的若干意见》文件解读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邹  晖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教育部科学技术司基础研究与社会发展处处长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从诉讼看高校学生管理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王敬波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对外经贸大学党委常委、副校长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教育行政诉讼典型案例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李红勃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中国政法大学法治政府研究院教授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法律意识与权利义务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大学与青年发展—法治意识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朱银端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华侨大学马克思主义学院教授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学生的法律地位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李德嘉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北京师范大学法学院讲师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《个人信息保护法》解读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张新宝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中国人民大学法学院教授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学生伤害的法律责任——学校安全管理系列课程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张  冉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北京大学教育学院副教授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学生隐私权与个人信息保护，学校如何“防雷”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杨  攀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西南大学法学院网络教育立法研究所所长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大学生的权利与义务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李红勃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中国政法大学教授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《关于维护新就业形态劳动者劳动保障权益的指导意见》解读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常  凯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中国人民大学劳动人事学院教授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大学生劳动就业法律问题解读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刘金祥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华东理工大学法学院教授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kern w:val="0"/>
                <w:sz w:val="24"/>
                <w:lang w:eastAsia="zh-CN" w:bidi="ar"/>
              </w:rPr>
              <w:t>自我保护与防范能力提升</w:t>
            </w: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做网络公民，学会保护隐私信息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情法理融合 家校联动——法规视角下学生心理危机的应对程序与技术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赵富才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聊城大学心理健康教育与咨询中心主任、教授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大学生创业法律风险防控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何佩佩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福州大学法学院副教授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谈诈骗--“校园贷”与电信诈骗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王  刚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中国刑事警察学院反诈骗专家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如梦初醒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信用卡信息窃贼防范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智能手机的安全使用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二维码安全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" w:eastAsia="仿宋_GB2312" w:cs="仿宋"/>
                <w:b/>
                <w:bCs/>
                <w:color w:val="000000"/>
                <w:sz w:val="24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账户及密码安全</w:t>
            </w:r>
          </w:p>
        </w:tc>
        <w:tc>
          <w:tcPr>
            <w:tcW w:w="1071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 w:bidi="ar"/>
              </w:rPr>
              <w:t>微  课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uto"/>
        <w:ind w:firstLine="480"/>
        <w:jc w:val="left"/>
        <w:rPr>
          <w:rFonts w:eastAsia="仿宋_GB2312" w:cs="Times New Roman"/>
          <w:kern w:val="0"/>
          <w:sz w:val="24"/>
          <w:lang w:bidi="ar"/>
        </w:rPr>
      </w:pPr>
      <w:r>
        <w:rPr>
          <w:rFonts w:eastAsia="仿宋_GB2312" w:cs="Times New Roman"/>
          <w:kern w:val="0"/>
          <w:sz w:val="24"/>
          <w:lang w:bidi="ar"/>
        </w:rPr>
        <w:t>说明：1.个别课程或稍有调整，请以平台最终发布课程为准；</w:t>
      </w:r>
    </w:p>
    <w:p>
      <w:pPr>
        <w:adjustRightInd w:val="0"/>
        <w:snapToGrid w:val="0"/>
        <w:spacing w:line="240" w:lineRule="auto"/>
        <w:ind w:left="720" w:firstLine="480"/>
        <w:jc w:val="left"/>
        <w:rPr>
          <w:rFonts w:eastAsia="仿宋_GB2312" w:cs="Times New Roman"/>
          <w:kern w:val="0"/>
          <w:sz w:val="24"/>
          <w:lang w:bidi="ar"/>
        </w:rPr>
      </w:pPr>
      <w:r>
        <w:rPr>
          <w:rFonts w:eastAsia="仿宋_GB2312" w:cs="Times New Roman"/>
          <w:kern w:val="0"/>
          <w:sz w:val="24"/>
          <w:lang w:bidi="ar"/>
        </w:rPr>
        <w:t>2.课程主讲人职务为课程录制时的职务。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084F7CE8"/>
    <w:rsid w:val="10044C42"/>
    <w:rsid w:val="3B112139"/>
    <w:rsid w:val="4D0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华文仿宋" w:cs="Angsana New"/>
      <w:kern w:val="2"/>
      <w:sz w:val="28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0"/>
      <w:szCs w:val="5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3523</Words>
  <Characters>3659</Characters>
  <Lines>0</Lines>
  <Paragraphs>0</Paragraphs>
  <TotalTime>0</TotalTime>
  <ScaleCrop>false</ScaleCrop>
  <LinksUpToDate>false</LinksUpToDate>
  <CharactersWithSpaces>3721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2023-03-29T01:57:00Z</dcterms:created>
  <dc:creator>Administrator</dc:creator>
  <cp:lastModifiedBy>一叶编舟</cp:lastModifiedBy>
  <dcterms:modified xsi:type="dcterms:W3CDTF">2023-03-29T02:04:59Z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9FC63F5A2D6C4BED988AC7A9ECBBBFB2</vt:lpwstr>
  </property>
</Properties>
</file>