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exact"/>
        <w:rPr>
          <w:rFonts w:eastAsia="仿宋"/>
          <w:b/>
          <w:sz w:val="30"/>
        </w:rPr>
      </w:pPr>
      <w:r>
        <w:rPr>
          <w:rFonts w:eastAsia="仿宋"/>
          <w:b/>
          <w:sz w:val="30"/>
        </w:rPr>
        <w:t>附件1</w:t>
      </w:r>
    </w:p>
    <w:p>
      <w:pPr>
        <w:spacing w:before="120" w:beforeLines="50" w:after="120" w:afterLines="50"/>
        <w:jc w:val="center"/>
        <w:rPr>
          <w:rFonts w:eastAsia="方正小标宋简体"/>
          <w:sz w:val="32"/>
          <w:szCs w:val="32"/>
          <w:lang w:val="zh-TW" w:eastAsia="zh-TW"/>
        </w:rPr>
      </w:pPr>
      <w:r>
        <w:rPr>
          <w:rFonts w:eastAsia="方正小标宋简体"/>
          <w:sz w:val="32"/>
          <w:szCs w:val="32"/>
        </w:rPr>
        <w:t>第七十四期入党积极分子培训班</w:t>
      </w:r>
      <w:r>
        <w:rPr>
          <w:rFonts w:eastAsia="方正小标宋简体"/>
          <w:sz w:val="32"/>
          <w:szCs w:val="32"/>
          <w:lang w:val="zh-TW" w:eastAsia="zh-TW"/>
        </w:rPr>
        <w:t>网络培训课程表</w:t>
      </w:r>
    </w:p>
    <w:tbl>
      <w:tblPr>
        <w:tblStyle w:val="4"/>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3444"/>
        <w:gridCol w:w="1113"/>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415" w:type="dxa"/>
            <w:noWrap/>
            <w:vAlign w:val="center"/>
          </w:tcPr>
          <w:p>
            <w:pPr>
              <w:jc w:val="center"/>
              <w:rPr>
                <w:rFonts w:eastAsia="仿宋_GB2312"/>
                <w:b/>
                <w:bCs/>
                <w:color w:val="000000"/>
                <w:sz w:val="28"/>
                <w:szCs w:val="28"/>
                <w:lang w:val="zh-TW" w:eastAsia="zh-TW"/>
              </w:rPr>
            </w:pPr>
            <w:r>
              <w:rPr>
                <w:rFonts w:eastAsia="仿宋_GB2312"/>
                <w:b/>
                <w:bCs/>
                <w:color w:val="000000"/>
                <w:sz w:val="28"/>
                <w:szCs w:val="28"/>
              </w:rPr>
              <w:t>课程模块</w:t>
            </w:r>
          </w:p>
        </w:tc>
        <w:tc>
          <w:tcPr>
            <w:tcW w:w="3444" w:type="dxa"/>
            <w:noWrap w:val="0"/>
            <w:vAlign w:val="center"/>
          </w:tcPr>
          <w:p>
            <w:pPr>
              <w:jc w:val="center"/>
              <w:rPr>
                <w:rFonts w:eastAsia="仿宋_GB2312"/>
                <w:b/>
                <w:bCs/>
                <w:color w:val="000000"/>
                <w:sz w:val="28"/>
                <w:szCs w:val="28"/>
                <w:lang w:val="zh-TW" w:eastAsia="zh-TW"/>
              </w:rPr>
            </w:pPr>
            <w:r>
              <w:rPr>
                <w:rFonts w:eastAsia="仿宋_GB2312"/>
                <w:b/>
                <w:bCs/>
                <w:color w:val="000000"/>
                <w:sz w:val="28"/>
                <w:szCs w:val="28"/>
              </w:rPr>
              <w:t>课程名称</w:t>
            </w:r>
          </w:p>
        </w:tc>
        <w:tc>
          <w:tcPr>
            <w:tcW w:w="1113" w:type="dxa"/>
            <w:noWrap/>
            <w:vAlign w:val="center"/>
          </w:tcPr>
          <w:p>
            <w:pPr>
              <w:jc w:val="center"/>
              <w:rPr>
                <w:rFonts w:eastAsia="仿宋_GB2312"/>
                <w:b/>
                <w:bCs/>
                <w:color w:val="000000"/>
                <w:sz w:val="28"/>
                <w:szCs w:val="28"/>
                <w:lang w:val="zh-TW" w:eastAsia="zh-TW"/>
              </w:rPr>
            </w:pPr>
            <w:r>
              <w:rPr>
                <w:rFonts w:eastAsia="仿宋_GB2312"/>
                <w:b/>
                <w:bCs/>
                <w:color w:val="000000"/>
                <w:sz w:val="28"/>
                <w:szCs w:val="28"/>
              </w:rPr>
              <w:t>主讲人</w:t>
            </w:r>
          </w:p>
        </w:tc>
        <w:tc>
          <w:tcPr>
            <w:tcW w:w="4116" w:type="dxa"/>
            <w:noWrap w:val="0"/>
            <w:vAlign w:val="center"/>
          </w:tcPr>
          <w:p>
            <w:pPr>
              <w:jc w:val="center"/>
              <w:rPr>
                <w:rFonts w:eastAsia="仿宋_GB2312"/>
                <w:b/>
                <w:bCs/>
                <w:color w:val="000000"/>
                <w:sz w:val="28"/>
                <w:szCs w:val="28"/>
                <w:lang w:val="zh-TW" w:eastAsia="zh-TW"/>
              </w:rPr>
            </w:pPr>
            <w:r>
              <w:rPr>
                <w:rFonts w:eastAsia="仿宋_GB2312"/>
                <w:b/>
                <w:bCs/>
                <w:color w:val="000000"/>
                <w:sz w:val="28"/>
                <w:szCs w:val="28"/>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0"/>
            <w:vAlign w:val="center"/>
          </w:tcPr>
          <w:p>
            <w:pPr>
              <w:snapToGrid w:val="0"/>
              <w:spacing w:line="264" w:lineRule="auto"/>
              <w:jc w:val="center"/>
              <w:rPr>
                <w:rFonts w:eastAsia="仿宋_GB2312"/>
                <w:b/>
                <w:bCs/>
                <w:color w:val="000000"/>
                <w:sz w:val="28"/>
                <w:szCs w:val="28"/>
              </w:rPr>
            </w:pPr>
            <w:r>
              <w:rPr>
                <w:rFonts w:eastAsia="仿宋_GB2312"/>
                <w:b/>
                <w:bCs/>
                <w:color w:val="000000"/>
                <w:sz w:val="28"/>
                <w:szCs w:val="28"/>
              </w:rPr>
              <w:t>党的二十大精神学习</w:t>
            </w:r>
          </w:p>
        </w:tc>
        <w:tc>
          <w:tcPr>
            <w:tcW w:w="3444" w:type="dxa"/>
            <w:noWrap w:val="0"/>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高举中国特色社会主义伟大旗帜，为全面建设社会主义现代化国家而团结奋斗——全面学习贯彻党的二十大精神</w:t>
            </w:r>
          </w:p>
        </w:tc>
        <w:tc>
          <w:tcPr>
            <w:tcW w:w="1113" w:type="dxa"/>
            <w:noWrap w:val="0"/>
            <w:vAlign w:val="center"/>
          </w:tcPr>
          <w:p>
            <w:pPr>
              <w:spacing w:before="48" w:beforeLines="20" w:after="48" w:afterLines="20"/>
              <w:jc w:val="center"/>
              <w:rPr>
                <w:rFonts w:eastAsia="仿宋_GB2312"/>
                <w:color w:val="000000"/>
                <w:sz w:val="24"/>
                <w:szCs w:val="24"/>
                <w:lang w:val="zh-TW" w:eastAsia="zh-TW"/>
              </w:rPr>
            </w:pPr>
            <w:r>
              <w:rPr>
                <w:rFonts w:eastAsia="仿宋_GB2312"/>
                <w:color w:val="000000"/>
                <w:sz w:val="24"/>
                <w:szCs w:val="24"/>
              </w:rPr>
              <w:t>路克利</w:t>
            </w:r>
          </w:p>
        </w:tc>
        <w:tc>
          <w:tcPr>
            <w:tcW w:w="4116" w:type="dxa"/>
            <w:noWrap w:val="0"/>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中国人民大学马克思主义学院习近平新时代中国特色社会主义思想研究院研究员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认真学习党的二十大精神，开辟马克思主义中国化时代化新境界</w:t>
            </w:r>
          </w:p>
        </w:tc>
        <w:tc>
          <w:tcPr>
            <w:tcW w:w="1113" w:type="dxa"/>
            <w:noWrap w:val="0"/>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刘  春</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中国式现代化的中国特色、本质要求和必须牢牢把握的重大原则</w:t>
            </w:r>
          </w:p>
        </w:tc>
        <w:tc>
          <w:tcPr>
            <w:tcW w:w="1113" w:type="dxa"/>
            <w:noWrap w:val="0"/>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辛向阳</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中国社会科学院马克思主义研究院党委书记、副院长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ign w:val="center"/>
          </w:tcPr>
          <w:p>
            <w:pPr>
              <w:snapToGrid w:val="0"/>
              <w:spacing w:line="264" w:lineRule="auto"/>
              <w:jc w:val="center"/>
              <w:rPr>
                <w:rFonts w:eastAsia="仿宋_GB2312"/>
                <w:b/>
                <w:bCs/>
                <w:color w:val="000000"/>
                <w:sz w:val="28"/>
                <w:szCs w:val="28"/>
              </w:rPr>
            </w:pPr>
            <w:r>
              <w:rPr>
                <w:rFonts w:eastAsia="仿宋_GB2312"/>
                <w:b/>
                <w:bCs/>
                <w:color w:val="000000"/>
                <w:sz w:val="28"/>
                <w:szCs w:val="28"/>
              </w:rPr>
              <w:t>习近平新时代中国特色社会主义思想</w:t>
            </w:r>
          </w:p>
        </w:tc>
        <w:tc>
          <w:tcPr>
            <w:tcW w:w="3444" w:type="dxa"/>
            <w:noWrap w:val="0"/>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《习近平关于全面从严治党论述摘编》导读</w:t>
            </w:r>
          </w:p>
        </w:tc>
        <w:tc>
          <w:tcPr>
            <w:tcW w:w="1113" w:type="dxa"/>
            <w:noWrap w:val="0"/>
            <w:vAlign w:val="center"/>
          </w:tcPr>
          <w:p>
            <w:pPr>
              <w:spacing w:before="48" w:beforeLines="20" w:after="48" w:afterLines="20"/>
              <w:jc w:val="center"/>
              <w:rPr>
                <w:rFonts w:eastAsia="仿宋_GB2312"/>
                <w:color w:val="000000"/>
                <w:sz w:val="24"/>
                <w:szCs w:val="24"/>
                <w:lang w:val="zh-TW" w:eastAsia="zh-TW"/>
              </w:rPr>
            </w:pPr>
            <w:r>
              <w:rPr>
                <w:rFonts w:eastAsia="仿宋_GB2312"/>
                <w:color w:val="000000"/>
                <w:sz w:val="24"/>
                <w:szCs w:val="24"/>
              </w:rPr>
              <w:t>徐  珂</w:t>
            </w:r>
          </w:p>
        </w:tc>
        <w:tc>
          <w:tcPr>
            <w:tcW w:w="4116" w:type="dxa"/>
            <w:noWrap w:val="0"/>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中共中央党校（国家行政学院）研究员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ign w:val="center"/>
          </w:tcPr>
          <w:p>
            <w:pPr>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坚定不移贯彻总体国家安全观推进国家安全体系和能力现代化</w:t>
            </w:r>
          </w:p>
        </w:tc>
        <w:tc>
          <w:tcPr>
            <w:tcW w:w="1113" w:type="dxa"/>
            <w:noWrap w:val="0"/>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李  兵</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中国人民解放军国防大学教授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ign w:val="center"/>
          </w:tcPr>
          <w:p>
            <w:pPr>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努力成为世界主要科学中心和创新高地——深入学习习近平总书记关于建设科技强国的重要论述</w:t>
            </w:r>
          </w:p>
        </w:tc>
        <w:tc>
          <w:tcPr>
            <w:tcW w:w="1113" w:type="dxa"/>
            <w:noWrap w:val="0"/>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潘教峰</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中国科学院科技战略咨询研究院院长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ign w:val="center"/>
          </w:tcPr>
          <w:p>
            <w:pPr>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认真学习贯彻习近平总书记关于加强和改进民族工作的重要思想</w:t>
            </w:r>
          </w:p>
        </w:tc>
        <w:tc>
          <w:tcPr>
            <w:tcW w:w="1113" w:type="dxa"/>
            <w:noWrap w:val="0"/>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沈桂萍</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浙江大学国家制度研究院研究员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0"/>
            <w:vAlign w:val="center"/>
          </w:tcPr>
          <w:p>
            <w:pPr>
              <w:snapToGrid w:val="0"/>
              <w:spacing w:line="264" w:lineRule="auto"/>
              <w:jc w:val="center"/>
              <w:rPr>
                <w:rFonts w:eastAsia="仿宋_GB2312"/>
                <w:b/>
                <w:bCs/>
                <w:color w:val="000000"/>
                <w:sz w:val="28"/>
                <w:szCs w:val="28"/>
              </w:rPr>
            </w:pPr>
            <w:r>
              <w:rPr>
                <w:rFonts w:eastAsia="仿宋_GB2312"/>
                <w:b/>
                <w:bCs/>
                <w:color w:val="000000"/>
                <w:sz w:val="28"/>
                <w:szCs w:val="28"/>
              </w:rPr>
              <w:t>党的性质宗旨教育</w:t>
            </w:r>
          </w:p>
        </w:tc>
        <w:tc>
          <w:tcPr>
            <w:tcW w:w="3444" w:type="dxa"/>
            <w:noWrap w:val="0"/>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深入学习中国共产党章程的历史演进 深刻领会党的百年奋斗理论创新、实践创新和制度创新伟大成就</w:t>
            </w:r>
          </w:p>
        </w:tc>
        <w:tc>
          <w:tcPr>
            <w:tcW w:w="1113" w:type="dxa"/>
            <w:noWrap w:val="0"/>
            <w:vAlign w:val="center"/>
          </w:tcPr>
          <w:p>
            <w:pPr>
              <w:spacing w:before="48" w:beforeLines="20" w:after="48" w:afterLines="20"/>
              <w:jc w:val="center"/>
              <w:rPr>
                <w:rFonts w:eastAsia="仿宋_GB2312"/>
                <w:color w:val="000000"/>
                <w:sz w:val="24"/>
                <w:szCs w:val="24"/>
                <w:lang w:val="zh-TW" w:eastAsia="zh-TW"/>
              </w:rPr>
            </w:pPr>
            <w:r>
              <w:rPr>
                <w:rFonts w:eastAsia="仿宋_GB2312"/>
                <w:color w:val="000000"/>
                <w:sz w:val="24"/>
                <w:szCs w:val="24"/>
              </w:rPr>
              <w:t>邓纯东</w:t>
            </w:r>
          </w:p>
        </w:tc>
        <w:tc>
          <w:tcPr>
            <w:tcW w:w="4116" w:type="dxa"/>
            <w:noWrap w:val="0"/>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中国社会科学院马克思主义研究院原党委书记、院长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严守组织纪律</w:t>
            </w:r>
          </w:p>
        </w:tc>
        <w:tc>
          <w:tcPr>
            <w:tcW w:w="1113" w:type="dxa"/>
            <w:noWrap w:val="0"/>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微  课</w:t>
            </w:r>
          </w:p>
        </w:tc>
        <w:tc>
          <w:tcPr>
            <w:tcW w:w="4116" w:type="dxa"/>
            <w:noWrap w:val="0"/>
            <w:vAlign w:val="center"/>
          </w:tcPr>
          <w:p>
            <w:pPr>
              <w:spacing w:before="48" w:beforeLines="20" w:after="48" w:afterLines="20"/>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color w:val="000000"/>
                <w:kern w:val="0"/>
                <w:sz w:val="22"/>
                <w:u w:val="none" w:color="000000"/>
              </w:rPr>
            </w:pPr>
          </w:p>
        </w:tc>
        <w:tc>
          <w:tcPr>
            <w:tcW w:w="3444" w:type="dxa"/>
            <w:noWrap/>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以伟大自我革命引领伟大社会革命</w:t>
            </w:r>
          </w:p>
        </w:tc>
        <w:tc>
          <w:tcPr>
            <w:tcW w:w="1113" w:type="dxa"/>
            <w:noWrap/>
            <w:vAlign w:val="center"/>
          </w:tcPr>
          <w:p>
            <w:pPr>
              <w:spacing w:before="48" w:beforeLines="20" w:after="48" w:afterLines="20"/>
              <w:jc w:val="center"/>
              <w:rPr>
                <w:rFonts w:eastAsia="仿宋_GB2312"/>
                <w:color w:val="000000"/>
                <w:sz w:val="24"/>
                <w:szCs w:val="24"/>
                <w:lang w:val="zh-TW" w:eastAsia="zh-TW"/>
              </w:rPr>
            </w:pPr>
            <w:r>
              <w:rPr>
                <w:rFonts w:eastAsia="仿宋_GB2312"/>
                <w:color w:val="000000"/>
                <w:sz w:val="24"/>
                <w:szCs w:val="24"/>
              </w:rPr>
              <w:t>辛向阳</w:t>
            </w:r>
          </w:p>
        </w:tc>
        <w:tc>
          <w:tcPr>
            <w:tcW w:w="4116" w:type="dxa"/>
            <w:noWrap/>
            <w:vAlign w:val="center"/>
          </w:tcPr>
          <w:p>
            <w:pPr>
              <w:spacing w:before="48" w:beforeLines="20" w:after="48" w:afterLines="20"/>
              <w:jc w:val="left"/>
              <w:rPr>
                <w:rFonts w:eastAsia="仿宋_GB2312"/>
                <w:color w:val="000000"/>
                <w:sz w:val="24"/>
                <w:szCs w:val="24"/>
                <w:lang w:val="zh-TW" w:eastAsia="zh-TW"/>
              </w:rPr>
            </w:pPr>
            <w:r>
              <w:rPr>
                <w:rFonts w:eastAsia="仿宋_GB2312"/>
                <w:color w:val="000000"/>
                <w:sz w:val="24"/>
                <w:szCs w:val="24"/>
              </w:rPr>
              <w:t>中国社会科学院马克思主义研究院党委书记、副院长，教授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0"/>
            <w:vAlign w:val="center"/>
          </w:tcPr>
          <w:p>
            <w:pPr>
              <w:widowControl/>
              <w:snapToGrid w:val="0"/>
              <w:spacing w:line="264" w:lineRule="auto"/>
              <w:jc w:val="center"/>
              <w:rPr>
                <w:rFonts w:eastAsia="仿宋_GB2312"/>
                <w:b/>
                <w:bCs/>
                <w:color w:val="000000"/>
                <w:sz w:val="28"/>
                <w:szCs w:val="28"/>
              </w:rPr>
            </w:pPr>
            <w:r>
              <w:rPr>
                <w:rFonts w:eastAsia="仿宋_GB2312"/>
                <w:b/>
                <w:bCs/>
                <w:color w:val="000000"/>
                <w:sz w:val="28"/>
                <w:szCs w:val="28"/>
              </w:rPr>
              <w:t>党史和党的基本知识</w:t>
            </w: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中国共产党百年奋斗的历史经验</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颜晓峰</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新时代新征程中国共产党的使命任务——以中国式现代化全面推进中华民族伟大复兴</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秦  强</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二十大党章修改的背景及考量</w:t>
            </w:r>
          </w:p>
        </w:tc>
        <w:tc>
          <w:tcPr>
            <w:tcW w:w="1113" w:type="dxa"/>
            <w:vMerge w:val="restart"/>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曹鹏飞</w:t>
            </w:r>
          </w:p>
        </w:tc>
        <w:tc>
          <w:tcPr>
            <w:tcW w:w="4116" w:type="dxa"/>
            <w:vMerge w:val="restart"/>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二十大党章修改的主要内容</w:t>
            </w:r>
          </w:p>
        </w:tc>
        <w:tc>
          <w:tcPr>
            <w:tcW w:w="1113" w:type="dxa"/>
            <w:vMerge w:val="continue"/>
            <w:noWrap/>
            <w:vAlign w:val="center"/>
          </w:tcPr>
          <w:p>
            <w:pPr>
              <w:spacing w:before="48" w:beforeLines="20" w:after="48" w:afterLines="20"/>
              <w:jc w:val="center"/>
              <w:rPr>
                <w:rFonts w:eastAsia="仿宋_GB2312"/>
                <w:color w:val="000000"/>
                <w:sz w:val="24"/>
                <w:szCs w:val="24"/>
              </w:rPr>
            </w:pPr>
          </w:p>
        </w:tc>
        <w:tc>
          <w:tcPr>
            <w:tcW w:w="4116" w:type="dxa"/>
            <w:vMerge w:val="continue"/>
            <w:noWrap w:val="0"/>
            <w:vAlign w:val="center"/>
          </w:tcPr>
          <w:p>
            <w:pPr>
              <w:spacing w:before="48" w:beforeLines="20" w:after="48" w:afterLines="20"/>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贯彻落实二十大党章的要求</w:t>
            </w:r>
          </w:p>
        </w:tc>
        <w:tc>
          <w:tcPr>
            <w:tcW w:w="1113" w:type="dxa"/>
            <w:vMerge w:val="continue"/>
            <w:noWrap/>
            <w:vAlign w:val="center"/>
          </w:tcPr>
          <w:p>
            <w:pPr>
              <w:spacing w:before="48" w:beforeLines="20" w:after="48" w:afterLines="20"/>
              <w:jc w:val="center"/>
              <w:rPr>
                <w:rFonts w:eastAsia="仿宋_GB2312"/>
                <w:color w:val="000000"/>
                <w:sz w:val="24"/>
                <w:szCs w:val="24"/>
              </w:rPr>
            </w:pPr>
          </w:p>
        </w:tc>
        <w:tc>
          <w:tcPr>
            <w:tcW w:w="4116" w:type="dxa"/>
            <w:vMerge w:val="continue"/>
            <w:noWrap w:val="0"/>
            <w:vAlign w:val="center"/>
          </w:tcPr>
          <w:p>
            <w:pPr>
              <w:spacing w:before="48" w:beforeLines="20" w:after="48" w:afterLines="20"/>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0"/>
            <w:vAlign w:val="center"/>
          </w:tcPr>
          <w:p>
            <w:pPr>
              <w:widowControl/>
              <w:snapToGrid w:val="0"/>
              <w:spacing w:line="264" w:lineRule="auto"/>
              <w:jc w:val="center"/>
              <w:rPr>
                <w:rFonts w:eastAsia="仿宋_GB2312"/>
                <w:b/>
                <w:bCs/>
                <w:color w:val="000000"/>
                <w:kern w:val="0"/>
                <w:sz w:val="28"/>
                <w:szCs w:val="28"/>
                <w:u w:val="none" w:color="000000"/>
              </w:rPr>
            </w:pPr>
            <w:r>
              <w:rPr>
                <w:rFonts w:eastAsia="仿宋_GB2312"/>
                <w:b/>
                <w:bCs/>
                <w:color w:val="000000"/>
                <w:sz w:val="28"/>
                <w:szCs w:val="28"/>
              </w:rPr>
              <w:t>形式政策教育</w:t>
            </w: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国家治理的深刻革命</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李  勇</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“中国之治”的政治基础和制度优势</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王冠中</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铸牢中华民族共同体意识的时代内涵与建构路径</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沈桂萍</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浙江大学国家制度研究院研究员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推进文化自信自强，铸就社会主义文化新辉煌</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魏鹏举</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中央财经大学文化经济研究院院长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新时代的中国与世界——中国和平发展面临的国际局势与战略应对</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江瑞平</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外交学院原副院长、教授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0"/>
            <w:vAlign w:val="center"/>
          </w:tcPr>
          <w:p>
            <w:pPr>
              <w:widowControl/>
              <w:snapToGrid w:val="0"/>
              <w:spacing w:line="264" w:lineRule="auto"/>
              <w:jc w:val="center"/>
              <w:rPr>
                <w:rFonts w:eastAsia="仿宋_GB2312"/>
                <w:b/>
                <w:bCs/>
                <w:color w:val="000000"/>
                <w:sz w:val="28"/>
                <w:szCs w:val="28"/>
              </w:rPr>
            </w:pPr>
            <w:r>
              <w:rPr>
                <w:rFonts w:eastAsia="仿宋_GB2312"/>
                <w:b/>
                <w:bCs/>
                <w:color w:val="000000"/>
                <w:sz w:val="28"/>
                <w:szCs w:val="28"/>
              </w:rPr>
              <w:t>入党积极分子的确定和培养教育</w:t>
            </w: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推荐和确定入党积极分子</w:t>
            </w:r>
          </w:p>
        </w:tc>
        <w:tc>
          <w:tcPr>
            <w:tcW w:w="1113" w:type="dxa"/>
            <w:vMerge w:val="restart"/>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蔡英辉</w:t>
            </w:r>
          </w:p>
        </w:tc>
        <w:tc>
          <w:tcPr>
            <w:tcW w:w="4116" w:type="dxa"/>
            <w:vMerge w:val="restart"/>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对外经济贸易大学组织部组织员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上级党委备案</w:t>
            </w:r>
          </w:p>
        </w:tc>
        <w:tc>
          <w:tcPr>
            <w:tcW w:w="1113" w:type="dxa"/>
            <w:vMerge w:val="continue"/>
            <w:noWrap/>
            <w:vAlign w:val="center"/>
          </w:tcPr>
          <w:p>
            <w:pPr>
              <w:spacing w:before="48" w:beforeLines="20" w:after="48" w:afterLines="20"/>
              <w:jc w:val="center"/>
              <w:rPr>
                <w:rFonts w:eastAsia="仿宋_GB2312"/>
                <w:color w:val="000000"/>
                <w:sz w:val="24"/>
                <w:szCs w:val="24"/>
              </w:rPr>
            </w:pPr>
          </w:p>
        </w:tc>
        <w:tc>
          <w:tcPr>
            <w:tcW w:w="4116" w:type="dxa"/>
            <w:vMerge w:val="continue"/>
            <w:noWrap w:val="0"/>
            <w:vAlign w:val="center"/>
          </w:tcPr>
          <w:p>
            <w:pPr>
              <w:spacing w:before="48" w:beforeLines="20" w:after="48" w:afterLines="20"/>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指定培养联系人</w:t>
            </w:r>
          </w:p>
        </w:tc>
        <w:tc>
          <w:tcPr>
            <w:tcW w:w="1113" w:type="dxa"/>
            <w:vMerge w:val="continue"/>
            <w:noWrap/>
            <w:vAlign w:val="center"/>
          </w:tcPr>
          <w:p>
            <w:pPr>
              <w:spacing w:before="48" w:beforeLines="20" w:after="48" w:afterLines="20"/>
              <w:jc w:val="center"/>
              <w:rPr>
                <w:rFonts w:eastAsia="仿宋_GB2312"/>
                <w:color w:val="000000"/>
                <w:sz w:val="24"/>
                <w:szCs w:val="24"/>
              </w:rPr>
            </w:pPr>
          </w:p>
        </w:tc>
        <w:tc>
          <w:tcPr>
            <w:tcW w:w="4116" w:type="dxa"/>
            <w:vMerge w:val="continue"/>
            <w:noWrap w:val="0"/>
            <w:vAlign w:val="center"/>
          </w:tcPr>
          <w:p>
            <w:pPr>
              <w:spacing w:before="48" w:beforeLines="20" w:after="48" w:afterLines="20"/>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培养教育考察</w:t>
            </w:r>
          </w:p>
        </w:tc>
        <w:tc>
          <w:tcPr>
            <w:tcW w:w="1113" w:type="dxa"/>
            <w:vMerge w:val="continue"/>
            <w:noWrap/>
            <w:vAlign w:val="center"/>
          </w:tcPr>
          <w:p>
            <w:pPr>
              <w:spacing w:before="48" w:beforeLines="20" w:after="48" w:afterLines="20"/>
              <w:jc w:val="center"/>
              <w:rPr>
                <w:rFonts w:eastAsia="仿宋_GB2312"/>
                <w:color w:val="000000"/>
                <w:sz w:val="24"/>
                <w:szCs w:val="24"/>
              </w:rPr>
            </w:pPr>
          </w:p>
        </w:tc>
        <w:tc>
          <w:tcPr>
            <w:tcW w:w="4116" w:type="dxa"/>
            <w:vMerge w:val="continue"/>
            <w:noWrap w:val="0"/>
            <w:vAlign w:val="center"/>
          </w:tcPr>
          <w:p>
            <w:pPr>
              <w:spacing w:before="48" w:beforeLines="20" w:after="48" w:afterLines="20"/>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0"/>
            <w:vAlign w:val="center"/>
          </w:tcPr>
          <w:p>
            <w:pPr>
              <w:widowControl/>
              <w:snapToGrid w:val="0"/>
              <w:spacing w:line="264" w:lineRule="auto"/>
              <w:jc w:val="center"/>
              <w:rPr>
                <w:rFonts w:eastAsia="仿宋_GB2312"/>
                <w:b/>
                <w:bCs/>
                <w:color w:val="000000"/>
                <w:sz w:val="28"/>
                <w:szCs w:val="28"/>
              </w:rPr>
            </w:pPr>
            <w:r>
              <w:rPr>
                <w:rFonts w:eastAsia="仿宋_GB2312"/>
                <w:b/>
                <w:bCs/>
                <w:color w:val="000000"/>
                <w:sz w:val="28"/>
                <w:szCs w:val="28"/>
              </w:rPr>
              <w:t>理想信念教育</w:t>
            </w: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习近平新时代中国特色社会主义思想的世界观和方法论</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辛向阳</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中国社会科学院马克思主义研究院党委书记、副院长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 xml:space="preserve"> 在中华民族伟大复兴征程中唱响青春之我 </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吴  庆</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中央团校（中国青年政治学院）教授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理想的力量</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刘  宸</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2021年最美大学生，西南石油大学经济管理学院本科生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大学，让理想伴青春远航</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周锦宇</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2021年最美大学生，兰州大学材料与能源学院研究生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restart"/>
            <w:noWrap w:val="0"/>
            <w:vAlign w:val="center"/>
          </w:tcPr>
          <w:p>
            <w:pPr>
              <w:widowControl/>
              <w:snapToGrid w:val="0"/>
              <w:spacing w:line="264" w:lineRule="auto"/>
              <w:jc w:val="center"/>
              <w:rPr>
                <w:rFonts w:eastAsia="仿宋_GB2312"/>
                <w:b/>
                <w:bCs/>
                <w:color w:val="000000"/>
                <w:sz w:val="28"/>
                <w:szCs w:val="28"/>
              </w:rPr>
            </w:pPr>
            <w:r>
              <w:rPr>
                <w:rFonts w:eastAsia="仿宋_GB2312"/>
                <w:b/>
                <w:bCs/>
                <w:color w:val="000000"/>
                <w:sz w:val="28"/>
                <w:szCs w:val="28"/>
              </w:rPr>
              <w:t>榜样示范</w:t>
            </w: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不负韶华勇担当 青春党员在路上</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苏正民</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第十六届中国“大学生年度人物”，中南财经大学硕士研究生党员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从“追光者”到“点灯人”——做又红又专，功能兼备的新工科人</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李佩慧</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全国高校“百名研究生党员标兵”，南开大学博士研究生党员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15" w:type="dxa"/>
            <w:vMerge w:val="continue"/>
            <w:noWrap w:val="0"/>
            <w:vAlign w:val="center"/>
          </w:tcPr>
          <w:p>
            <w:pPr>
              <w:widowControl/>
              <w:snapToGrid w:val="0"/>
              <w:spacing w:line="264" w:lineRule="auto"/>
              <w:jc w:val="center"/>
              <w:rPr>
                <w:rFonts w:eastAsia="仿宋_GB2312"/>
                <w:b/>
                <w:bCs/>
                <w:color w:val="000000"/>
                <w:sz w:val="28"/>
                <w:szCs w:val="28"/>
              </w:rPr>
            </w:pPr>
          </w:p>
        </w:tc>
        <w:tc>
          <w:tcPr>
            <w:tcW w:w="3444"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坚定理想信念 勇担时代重任 做新时代有为青年</w:t>
            </w:r>
          </w:p>
        </w:tc>
        <w:tc>
          <w:tcPr>
            <w:tcW w:w="1113" w:type="dxa"/>
            <w:noWrap/>
            <w:vAlign w:val="center"/>
          </w:tcPr>
          <w:p>
            <w:pPr>
              <w:spacing w:before="48" w:beforeLines="20" w:after="48" w:afterLines="20"/>
              <w:jc w:val="center"/>
              <w:rPr>
                <w:rFonts w:eastAsia="仿宋_GB2312"/>
                <w:color w:val="000000"/>
                <w:sz w:val="24"/>
                <w:szCs w:val="24"/>
              </w:rPr>
            </w:pPr>
            <w:r>
              <w:rPr>
                <w:rFonts w:eastAsia="仿宋_GB2312"/>
                <w:color w:val="000000"/>
                <w:sz w:val="24"/>
                <w:szCs w:val="24"/>
              </w:rPr>
              <w:t>沈  昊</w:t>
            </w:r>
          </w:p>
        </w:tc>
        <w:tc>
          <w:tcPr>
            <w:tcW w:w="4116" w:type="dxa"/>
            <w:noWrap w:val="0"/>
            <w:vAlign w:val="center"/>
          </w:tcPr>
          <w:p>
            <w:pPr>
              <w:spacing w:before="48" w:beforeLines="20" w:after="48" w:afterLines="20"/>
              <w:jc w:val="left"/>
              <w:rPr>
                <w:rFonts w:eastAsia="仿宋_GB2312"/>
                <w:color w:val="000000"/>
                <w:sz w:val="24"/>
                <w:szCs w:val="24"/>
              </w:rPr>
            </w:pPr>
            <w:r>
              <w:rPr>
                <w:rFonts w:eastAsia="仿宋_GB2312"/>
                <w:color w:val="000000"/>
                <w:sz w:val="24"/>
                <w:szCs w:val="24"/>
              </w:rPr>
              <w:t>全国高校“百名研究生党员标兵”，延边大学博士研究生党员</w:t>
            </w:r>
          </w:p>
        </w:tc>
      </w:tr>
    </w:tbl>
    <w:p>
      <w:pPr>
        <w:snapToGrid w:val="0"/>
        <w:spacing w:before="120" w:beforeLines="50" w:line="360" w:lineRule="auto"/>
        <w:ind w:right="840" w:rightChars="400"/>
        <w:rPr>
          <w:rFonts w:eastAsia="仿宋_GB2312"/>
          <w:sz w:val="24"/>
          <w:szCs w:val="24"/>
        </w:rPr>
      </w:pPr>
      <w:r>
        <w:rPr>
          <w:rFonts w:eastAsia="仿宋_GB2312"/>
          <w:sz w:val="24"/>
          <w:szCs w:val="24"/>
        </w:rPr>
        <w:t>说明：1.个别课程或稍有调整，请以平台最终发布课程为准；</w:t>
      </w:r>
    </w:p>
    <w:p>
      <w:r>
        <w:rPr>
          <w:rFonts w:eastAsia="仿宋_GB2312"/>
          <w:sz w:val="24"/>
          <w:szCs w:val="24"/>
        </w:rPr>
        <w:t>2.课程主讲人职务为课程录制时的职务。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B0604020202020204"/>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4F2E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rFonts w:ascii="Times New Roman" w:hAnsi="Times New Roman" w:eastAsia="仿宋_GB2312"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2023-04-21T02:48:25Z</dcterms:created>
  <dc:creator>Administrator</dc:creator>
  <cp:lastModifiedBy>一叶编舟</cp:lastModifiedBy>
  <dcterms:modified xsi:type="dcterms:W3CDTF">2023-04-21T02:48:40Z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E9F6D107E8C743D981E906A4BFB1E100</vt:lpwstr>
  </property>
</Properties>
</file>