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line="480" w:lineRule="exact"/>
        <w:rPr>
          <w:rFonts w:eastAsia="仿宋"/>
          <w:b/>
          <w:sz w:val="30"/>
        </w:rPr>
      </w:pPr>
      <w:r>
        <w:rPr>
          <w:rFonts w:eastAsia="仿宋"/>
          <w:b/>
          <w:sz w:val="30"/>
        </w:rPr>
        <w:t>附件1</w:t>
      </w:r>
    </w:p>
    <w:p>
      <w:pPr>
        <w:spacing w:before="120" w:beforeLines="50" w:after="120" w:afterLines="50"/>
        <w:jc w:val="center"/>
        <w:rPr>
          <w:rFonts w:eastAsia="方正小标宋简体"/>
          <w:sz w:val="32"/>
          <w:szCs w:val="32"/>
          <w:lang w:val="zh-TW" w:eastAsia="zh-TW"/>
        </w:rPr>
      </w:pPr>
      <w:r>
        <w:rPr>
          <w:rFonts w:eastAsia="方正小标宋简体"/>
          <w:sz w:val="32"/>
          <w:szCs w:val="32"/>
        </w:rPr>
        <w:t>第七十四期入党积极分子培训班</w:t>
      </w:r>
      <w:r>
        <w:rPr>
          <w:rFonts w:eastAsia="方正小标宋简体"/>
          <w:sz w:val="32"/>
          <w:szCs w:val="32"/>
          <w:lang w:val="zh-TW" w:eastAsia="zh-TW"/>
        </w:rPr>
        <w:t>网络培训课程表</w:t>
      </w:r>
    </w:p>
    <w:tbl>
      <w:tblPr>
        <w:tblStyle w:val="4"/>
        <w:tblW w:w="100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5"/>
        <w:gridCol w:w="3444"/>
        <w:gridCol w:w="1113"/>
        <w:gridCol w:w="41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tblHeader/>
          <w:jc w:val="center"/>
        </w:trPr>
        <w:tc>
          <w:tcPr>
            <w:tcW w:w="1415" w:type="dxa"/>
            <w:noWrap/>
            <w:vAlign w:val="center"/>
          </w:tcPr>
          <w:p>
            <w:pPr>
              <w:jc w:val="center"/>
              <w:rPr>
                <w:rFonts w:eastAsia="仿宋_GB2312"/>
                <w:b/>
                <w:bCs/>
                <w:color w:val="000000"/>
                <w:sz w:val="28"/>
                <w:szCs w:val="28"/>
                <w:lang w:val="zh-TW" w:eastAsia="zh-TW"/>
              </w:rPr>
            </w:pPr>
            <w:r>
              <w:rPr>
                <w:rFonts w:eastAsia="仿宋_GB2312"/>
                <w:b/>
                <w:bCs/>
                <w:color w:val="000000"/>
                <w:sz w:val="28"/>
                <w:szCs w:val="28"/>
              </w:rPr>
              <w:t>课程模块</w:t>
            </w:r>
          </w:p>
        </w:tc>
        <w:tc>
          <w:tcPr>
            <w:tcW w:w="3444" w:type="dxa"/>
            <w:noWrap w:val="0"/>
            <w:vAlign w:val="center"/>
          </w:tcPr>
          <w:p>
            <w:pPr>
              <w:jc w:val="center"/>
              <w:rPr>
                <w:rFonts w:eastAsia="仿宋_GB2312"/>
                <w:b/>
                <w:bCs/>
                <w:color w:val="000000"/>
                <w:sz w:val="28"/>
                <w:szCs w:val="28"/>
                <w:lang w:val="zh-TW" w:eastAsia="zh-TW"/>
              </w:rPr>
            </w:pPr>
            <w:r>
              <w:rPr>
                <w:rFonts w:eastAsia="仿宋_GB2312"/>
                <w:b/>
                <w:bCs/>
                <w:color w:val="000000"/>
                <w:sz w:val="28"/>
                <w:szCs w:val="28"/>
              </w:rPr>
              <w:t>课程名称</w:t>
            </w:r>
          </w:p>
        </w:tc>
        <w:tc>
          <w:tcPr>
            <w:tcW w:w="1113" w:type="dxa"/>
            <w:noWrap/>
            <w:vAlign w:val="center"/>
          </w:tcPr>
          <w:p>
            <w:pPr>
              <w:jc w:val="center"/>
              <w:rPr>
                <w:rFonts w:eastAsia="仿宋_GB2312"/>
                <w:b/>
                <w:bCs/>
                <w:color w:val="000000"/>
                <w:sz w:val="28"/>
                <w:szCs w:val="28"/>
                <w:lang w:val="zh-TW" w:eastAsia="zh-TW"/>
              </w:rPr>
            </w:pPr>
            <w:r>
              <w:rPr>
                <w:rFonts w:eastAsia="仿宋_GB2312"/>
                <w:b/>
                <w:bCs/>
                <w:color w:val="000000"/>
                <w:sz w:val="28"/>
                <w:szCs w:val="28"/>
              </w:rPr>
              <w:t>主讲人</w:t>
            </w:r>
          </w:p>
        </w:tc>
        <w:tc>
          <w:tcPr>
            <w:tcW w:w="4116" w:type="dxa"/>
            <w:noWrap w:val="0"/>
            <w:vAlign w:val="center"/>
          </w:tcPr>
          <w:p>
            <w:pPr>
              <w:jc w:val="center"/>
              <w:rPr>
                <w:rFonts w:eastAsia="仿宋_GB2312"/>
                <w:b/>
                <w:bCs/>
                <w:color w:val="000000"/>
                <w:sz w:val="28"/>
                <w:szCs w:val="28"/>
                <w:lang w:val="zh-TW" w:eastAsia="zh-TW"/>
              </w:rPr>
            </w:pPr>
            <w:r>
              <w:rPr>
                <w:rFonts w:eastAsia="仿宋_GB2312"/>
                <w:b/>
                <w:bCs/>
                <w:color w:val="000000"/>
                <w:sz w:val="28"/>
                <w:szCs w:val="28"/>
              </w:rPr>
              <w:t>单位与职务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415" w:type="dxa"/>
            <w:vMerge w:val="restart"/>
            <w:noWrap w:val="0"/>
            <w:vAlign w:val="center"/>
          </w:tcPr>
          <w:p>
            <w:pPr>
              <w:snapToGrid w:val="0"/>
              <w:spacing w:line="264" w:lineRule="auto"/>
              <w:jc w:val="center"/>
              <w:rPr>
                <w:rFonts w:eastAsia="仿宋_GB2312"/>
                <w:b/>
                <w:bCs/>
                <w:color w:val="000000"/>
                <w:sz w:val="28"/>
                <w:szCs w:val="28"/>
              </w:rPr>
            </w:pPr>
            <w:r>
              <w:rPr>
                <w:rFonts w:eastAsia="仿宋_GB2312"/>
                <w:b/>
                <w:bCs/>
                <w:color w:val="000000"/>
                <w:sz w:val="28"/>
                <w:szCs w:val="28"/>
              </w:rPr>
              <w:t>党的二十大精神学习</w:t>
            </w:r>
          </w:p>
        </w:tc>
        <w:tc>
          <w:tcPr>
            <w:tcW w:w="3444" w:type="dxa"/>
            <w:noWrap w:val="0"/>
            <w:vAlign w:val="center"/>
          </w:tcPr>
          <w:p>
            <w:pPr>
              <w:spacing w:before="48" w:beforeLines="20" w:after="48" w:afterLines="20"/>
              <w:jc w:val="left"/>
              <w:rPr>
                <w:rFonts w:eastAsia="仿宋_GB2312"/>
                <w:color w:val="000000"/>
                <w:sz w:val="24"/>
                <w:szCs w:val="24"/>
                <w:lang w:val="zh-TW" w:eastAsia="zh-TW"/>
              </w:rPr>
            </w:pPr>
            <w:r>
              <w:rPr>
                <w:rFonts w:eastAsia="仿宋_GB2312"/>
                <w:color w:val="000000"/>
                <w:sz w:val="24"/>
                <w:szCs w:val="24"/>
              </w:rPr>
              <w:t>高举中国特色社会主义伟大旗帜，为全面建设社会主义现代化国家而团结奋斗——全面学习贯彻党的二十大精神</w:t>
            </w:r>
          </w:p>
        </w:tc>
        <w:tc>
          <w:tcPr>
            <w:tcW w:w="1113" w:type="dxa"/>
            <w:noWrap w:val="0"/>
            <w:vAlign w:val="center"/>
          </w:tcPr>
          <w:p>
            <w:pPr>
              <w:spacing w:before="48" w:beforeLines="20" w:after="48" w:afterLines="20"/>
              <w:jc w:val="center"/>
              <w:rPr>
                <w:rFonts w:eastAsia="仿宋_GB2312"/>
                <w:color w:val="000000"/>
                <w:sz w:val="24"/>
                <w:szCs w:val="24"/>
                <w:lang w:val="zh-TW" w:eastAsia="zh-TW"/>
              </w:rPr>
            </w:pPr>
            <w:r>
              <w:rPr>
                <w:rFonts w:eastAsia="仿宋_GB2312"/>
                <w:color w:val="000000"/>
                <w:sz w:val="24"/>
                <w:szCs w:val="24"/>
              </w:rPr>
              <w:t>路克利</w:t>
            </w:r>
          </w:p>
        </w:tc>
        <w:tc>
          <w:tcPr>
            <w:tcW w:w="4116" w:type="dxa"/>
            <w:noWrap w:val="0"/>
            <w:vAlign w:val="center"/>
          </w:tcPr>
          <w:p>
            <w:pPr>
              <w:spacing w:before="48" w:beforeLines="20" w:after="48" w:afterLines="20"/>
              <w:jc w:val="left"/>
              <w:rPr>
                <w:rFonts w:eastAsia="仿宋_GB2312"/>
                <w:color w:val="000000"/>
                <w:sz w:val="24"/>
                <w:szCs w:val="24"/>
                <w:lang w:val="zh-TW" w:eastAsia="zh-TW"/>
              </w:rPr>
            </w:pPr>
            <w:r>
              <w:rPr>
                <w:rFonts w:eastAsia="仿宋_GB2312"/>
                <w:color w:val="000000"/>
                <w:sz w:val="24"/>
                <w:szCs w:val="24"/>
              </w:rPr>
              <w:t>中国人民大学马克思主义学院习近平新时代中国特色社会主义思想研究院研究员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415" w:type="dxa"/>
            <w:vMerge w:val="continue"/>
            <w:noWrap w:val="0"/>
            <w:vAlign w:val="center"/>
          </w:tcPr>
          <w:p>
            <w:pPr>
              <w:snapToGrid w:val="0"/>
              <w:spacing w:line="264" w:lineRule="auto"/>
              <w:jc w:val="center"/>
              <w:rPr>
                <w:rFonts w:eastAsia="仿宋_GB2312"/>
                <w:b/>
                <w:bCs/>
                <w:color w:val="000000"/>
                <w:sz w:val="28"/>
                <w:szCs w:val="28"/>
              </w:rPr>
            </w:pPr>
          </w:p>
        </w:tc>
        <w:tc>
          <w:tcPr>
            <w:tcW w:w="3444" w:type="dxa"/>
            <w:noWrap w:val="0"/>
            <w:vAlign w:val="center"/>
          </w:tcPr>
          <w:p>
            <w:pPr>
              <w:spacing w:before="48" w:beforeLines="20" w:after="48" w:afterLines="20"/>
              <w:jc w:val="left"/>
              <w:rPr>
                <w:rFonts w:eastAsia="仿宋_GB2312"/>
                <w:color w:val="000000"/>
                <w:sz w:val="24"/>
                <w:szCs w:val="24"/>
              </w:rPr>
            </w:pPr>
            <w:r>
              <w:rPr>
                <w:rFonts w:eastAsia="仿宋_GB2312"/>
                <w:color w:val="000000"/>
                <w:sz w:val="24"/>
                <w:szCs w:val="24"/>
              </w:rPr>
              <w:t>认真学习党的二十大精神，开辟马克思主义中国化时代化新境界</w:t>
            </w:r>
          </w:p>
        </w:tc>
        <w:tc>
          <w:tcPr>
            <w:tcW w:w="1113" w:type="dxa"/>
            <w:noWrap w:val="0"/>
            <w:vAlign w:val="center"/>
          </w:tcPr>
          <w:p>
            <w:pPr>
              <w:spacing w:before="48" w:beforeLines="20" w:after="48" w:afterLines="20"/>
              <w:jc w:val="center"/>
              <w:rPr>
                <w:rFonts w:eastAsia="仿宋_GB2312"/>
                <w:color w:val="000000"/>
                <w:sz w:val="24"/>
                <w:szCs w:val="24"/>
              </w:rPr>
            </w:pPr>
            <w:r>
              <w:rPr>
                <w:rFonts w:eastAsia="仿宋_GB2312"/>
                <w:color w:val="000000"/>
                <w:sz w:val="24"/>
                <w:szCs w:val="24"/>
              </w:rPr>
              <w:t>刘  春</w:t>
            </w:r>
          </w:p>
        </w:tc>
        <w:tc>
          <w:tcPr>
            <w:tcW w:w="4116" w:type="dxa"/>
            <w:noWrap w:val="0"/>
            <w:vAlign w:val="center"/>
          </w:tcPr>
          <w:p>
            <w:pPr>
              <w:spacing w:before="48" w:beforeLines="20" w:after="48" w:afterLines="20"/>
              <w:jc w:val="left"/>
              <w:rPr>
                <w:rFonts w:eastAsia="仿宋_GB2312"/>
                <w:color w:val="000000"/>
                <w:sz w:val="24"/>
                <w:szCs w:val="24"/>
              </w:rPr>
            </w:pPr>
            <w:r>
              <w:rPr>
                <w:rFonts w:eastAsia="仿宋_GB2312"/>
                <w:color w:val="000000"/>
                <w:sz w:val="24"/>
                <w:szCs w:val="24"/>
              </w:rPr>
              <w:t>中共中央党校（国家行政学院）教授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415" w:type="dxa"/>
            <w:vMerge w:val="continue"/>
            <w:noWrap w:val="0"/>
            <w:vAlign w:val="center"/>
          </w:tcPr>
          <w:p>
            <w:pPr>
              <w:snapToGrid w:val="0"/>
              <w:spacing w:line="264" w:lineRule="auto"/>
              <w:jc w:val="center"/>
              <w:rPr>
                <w:rFonts w:eastAsia="仿宋_GB2312"/>
                <w:b/>
                <w:bCs/>
                <w:color w:val="000000"/>
                <w:sz w:val="28"/>
                <w:szCs w:val="28"/>
              </w:rPr>
            </w:pPr>
          </w:p>
        </w:tc>
        <w:tc>
          <w:tcPr>
            <w:tcW w:w="3444" w:type="dxa"/>
            <w:noWrap w:val="0"/>
            <w:vAlign w:val="center"/>
          </w:tcPr>
          <w:p>
            <w:pPr>
              <w:spacing w:before="48" w:beforeLines="20" w:after="48" w:afterLines="20"/>
              <w:jc w:val="left"/>
              <w:rPr>
                <w:rFonts w:eastAsia="仿宋_GB2312"/>
                <w:color w:val="000000"/>
                <w:sz w:val="24"/>
                <w:szCs w:val="24"/>
              </w:rPr>
            </w:pPr>
            <w:r>
              <w:rPr>
                <w:rFonts w:eastAsia="仿宋_GB2312"/>
                <w:color w:val="000000"/>
                <w:sz w:val="24"/>
                <w:szCs w:val="24"/>
              </w:rPr>
              <w:t>中国式现代化的中国特色、本质要求和必须牢牢把握的重大原则</w:t>
            </w:r>
          </w:p>
        </w:tc>
        <w:tc>
          <w:tcPr>
            <w:tcW w:w="1113" w:type="dxa"/>
            <w:noWrap w:val="0"/>
            <w:vAlign w:val="center"/>
          </w:tcPr>
          <w:p>
            <w:pPr>
              <w:spacing w:before="48" w:beforeLines="20" w:after="48" w:afterLines="20"/>
              <w:jc w:val="center"/>
              <w:rPr>
                <w:rFonts w:eastAsia="仿宋_GB2312"/>
                <w:color w:val="000000"/>
                <w:sz w:val="24"/>
                <w:szCs w:val="24"/>
              </w:rPr>
            </w:pPr>
            <w:r>
              <w:rPr>
                <w:rFonts w:eastAsia="仿宋_GB2312"/>
                <w:color w:val="000000"/>
                <w:sz w:val="24"/>
                <w:szCs w:val="24"/>
              </w:rPr>
              <w:t>辛向阳</w:t>
            </w:r>
          </w:p>
        </w:tc>
        <w:tc>
          <w:tcPr>
            <w:tcW w:w="4116" w:type="dxa"/>
            <w:noWrap w:val="0"/>
            <w:vAlign w:val="center"/>
          </w:tcPr>
          <w:p>
            <w:pPr>
              <w:spacing w:before="48" w:beforeLines="20" w:after="48" w:afterLines="20"/>
              <w:jc w:val="left"/>
              <w:rPr>
                <w:rFonts w:eastAsia="仿宋_GB2312"/>
                <w:color w:val="000000"/>
                <w:sz w:val="24"/>
                <w:szCs w:val="24"/>
              </w:rPr>
            </w:pPr>
            <w:r>
              <w:rPr>
                <w:rFonts w:eastAsia="仿宋_GB2312"/>
                <w:color w:val="000000"/>
                <w:sz w:val="24"/>
                <w:szCs w:val="24"/>
              </w:rPr>
              <w:t>中国社会科学院马克思主义研究院党委书记、副院长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415" w:type="dxa"/>
            <w:vMerge w:val="restart"/>
            <w:noWrap/>
            <w:vAlign w:val="center"/>
          </w:tcPr>
          <w:p>
            <w:pPr>
              <w:snapToGrid w:val="0"/>
              <w:spacing w:line="264" w:lineRule="auto"/>
              <w:jc w:val="center"/>
              <w:rPr>
                <w:rFonts w:eastAsia="仿宋_GB2312"/>
                <w:b/>
                <w:bCs/>
                <w:color w:val="000000"/>
                <w:sz w:val="28"/>
                <w:szCs w:val="28"/>
              </w:rPr>
            </w:pPr>
            <w:r>
              <w:rPr>
                <w:rFonts w:eastAsia="仿宋_GB2312"/>
                <w:b/>
                <w:bCs/>
                <w:color w:val="000000"/>
                <w:sz w:val="28"/>
                <w:szCs w:val="28"/>
              </w:rPr>
              <w:t>习近平新时代中国特色社会主义思想</w:t>
            </w:r>
          </w:p>
        </w:tc>
        <w:tc>
          <w:tcPr>
            <w:tcW w:w="3444" w:type="dxa"/>
            <w:noWrap w:val="0"/>
            <w:vAlign w:val="center"/>
          </w:tcPr>
          <w:p>
            <w:pPr>
              <w:spacing w:before="48" w:beforeLines="20" w:after="48" w:afterLines="20"/>
              <w:jc w:val="left"/>
              <w:rPr>
                <w:rFonts w:eastAsia="仿宋_GB2312"/>
                <w:color w:val="000000"/>
                <w:sz w:val="24"/>
                <w:szCs w:val="24"/>
                <w:lang w:val="zh-TW" w:eastAsia="zh-TW"/>
              </w:rPr>
            </w:pPr>
            <w:r>
              <w:rPr>
                <w:rFonts w:eastAsia="仿宋_GB2312"/>
                <w:color w:val="000000"/>
                <w:sz w:val="24"/>
                <w:szCs w:val="24"/>
              </w:rPr>
              <w:t>《习近平关于全面从严治党论述摘编》导读</w:t>
            </w:r>
          </w:p>
        </w:tc>
        <w:tc>
          <w:tcPr>
            <w:tcW w:w="1113" w:type="dxa"/>
            <w:noWrap w:val="0"/>
            <w:vAlign w:val="center"/>
          </w:tcPr>
          <w:p>
            <w:pPr>
              <w:spacing w:before="48" w:beforeLines="20" w:after="48" w:afterLines="20"/>
              <w:jc w:val="center"/>
              <w:rPr>
                <w:rFonts w:eastAsia="仿宋_GB2312"/>
                <w:color w:val="000000"/>
                <w:sz w:val="24"/>
                <w:szCs w:val="24"/>
                <w:lang w:val="zh-TW" w:eastAsia="zh-TW"/>
              </w:rPr>
            </w:pPr>
            <w:r>
              <w:rPr>
                <w:rFonts w:eastAsia="仿宋_GB2312"/>
                <w:color w:val="000000"/>
                <w:sz w:val="24"/>
                <w:szCs w:val="24"/>
              </w:rPr>
              <w:t>徐  珂</w:t>
            </w:r>
          </w:p>
        </w:tc>
        <w:tc>
          <w:tcPr>
            <w:tcW w:w="4116" w:type="dxa"/>
            <w:noWrap w:val="0"/>
            <w:vAlign w:val="center"/>
          </w:tcPr>
          <w:p>
            <w:pPr>
              <w:spacing w:before="48" w:beforeLines="20" w:after="48" w:afterLines="20"/>
              <w:jc w:val="left"/>
              <w:rPr>
                <w:rFonts w:eastAsia="仿宋_GB2312"/>
                <w:color w:val="000000"/>
                <w:sz w:val="24"/>
                <w:szCs w:val="24"/>
                <w:lang w:val="zh-TW" w:eastAsia="zh-TW"/>
              </w:rPr>
            </w:pPr>
            <w:r>
              <w:rPr>
                <w:rFonts w:eastAsia="仿宋_GB2312"/>
                <w:color w:val="000000"/>
                <w:sz w:val="24"/>
                <w:szCs w:val="24"/>
              </w:rPr>
              <w:t>中共中央党校（国家行政学院）研究员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415" w:type="dxa"/>
            <w:vMerge w:val="continue"/>
            <w:noWrap/>
            <w:vAlign w:val="center"/>
          </w:tcPr>
          <w:p>
            <w:pPr>
              <w:snapToGrid w:val="0"/>
              <w:spacing w:line="264" w:lineRule="auto"/>
              <w:jc w:val="center"/>
              <w:rPr>
                <w:rFonts w:eastAsia="仿宋_GB2312"/>
                <w:b/>
                <w:bCs/>
                <w:color w:val="000000"/>
                <w:sz w:val="28"/>
                <w:szCs w:val="28"/>
              </w:rPr>
            </w:pPr>
          </w:p>
        </w:tc>
        <w:tc>
          <w:tcPr>
            <w:tcW w:w="3444" w:type="dxa"/>
            <w:noWrap w:val="0"/>
            <w:vAlign w:val="center"/>
          </w:tcPr>
          <w:p>
            <w:pPr>
              <w:spacing w:before="48" w:beforeLines="20" w:after="48" w:afterLines="20"/>
              <w:jc w:val="left"/>
              <w:rPr>
                <w:rFonts w:eastAsia="仿宋_GB2312"/>
                <w:color w:val="000000"/>
                <w:sz w:val="24"/>
                <w:szCs w:val="24"/>
              </w:rPr>
            </w:pPr>
            <w:r>
              <w:rPr>
                <w:rFonts w:eastAsia="仿宋_GB2312"/>
                <w:color w:val="000000"/>
                <w:sz w:val="24"/>
                <w:szCs w:val="24"/>
              </w:rPr>
              <w:t>坚定不移贯彻总体国家安全观推进国家安全体系和能力现代化</w:t>
            </w:r>
          </w:p>
        </w:tc>
        <w:tc>
          <w:tcPr>
            <w:tcW w:w="1113" w:type="dxa"/>
            <w:noWrap w:val="0"/>
            <w:vAlign w:val="center"/>
          </w:tcPr>
          <w:p>
            <w:pPr>
              <w:spacing w:before="48" w:beforeLines="20" w:after="48" w:afterLines="20"/>
              <w:jc w:val="center"/>
              <w:rPr>
                <w:rFonts w:eastAsia="仿宋_GB2312"/>
                <w:color w:val="000000"/>
                <w:sz w:val="24"/>
                <w:szCs w:val="24"/>
              </w:rPr>
            </w:pPr>
            <w:r>
              <w:rPr>
                <w:rFonts w:eastAsia="仿宋_GB2312"/>
                <w:color w:val="000000"/>
                <w:sz w:val="24"/>
                <w:szCs w:val="24"/>
              </w:rPr>
              <w:t>李  兵</w:t>
            </w:r>
          </w:p>
        </w:tc>
        <w:tc>
          <w:tcPr>
            <w:tcW w:w="4116" w:type="dxa"/>
            <w:noWrap w:val="0"/>
            <w:vAlign w:val="center"/>
          </w:tcPr>
          <w:p>
            <w:pPr>
              <w:spacing w:before="48" w:beforeLines="20" w:after="48" w:afterLines="20"/>
              <w:jc w:val="left"/>
              <w:rPr>
                <w:rFonts w:eastAsia="仿宋_GB2312"/>
                <w:color w:val="000000"/>
                <w:sz w:val="24"/>
                <w:szCs w:val="24"/>
              </w:rPr>
            </w:pPr>
            <w:r>
              <w:rPr>
                <w:rFonts w:eastAsia="仿宋_GB2312"/>
                <w:color w:val="000000"/>
                <w:sz w:val="24"/>
                <w:szCs w:val="24"/>
              </w:rPr>
              <w:t>中国人民解放军国防大学教授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415" w:type="dxa"/>
            <w:vMerge w:val="continue"/>
            <w:noWrap/>
            <w:vAlign w:val="center"/>
          </w:tcPr>
          <w:p>
            <w:pPr>
              <w:snapToGrid w:val="0"/>
              <w:spacing w:line="264" w:lineRule="auto"/>
              <w:jc w:val="center"/>
              <w:rPr>
                <w:rFonts w:eastAsia="仿宋_GB2312"/>
                <w:b/>
                <w:bCs/>
                <w:color w:val="000000"/>
                <w:sz w:val="28"/>
                <w:szCs w:val="28"/>
              </w:rPr>
            </w:pPr>
          </w:p>
        </w:tc>
        <w:tc>
          <w:tcPr>
            <w:tcW w:w="3444" w:type="dxa"/>
            <w:noWrap w:val="0"/>
            <w:vAlign w:val="center"/>
          </w:tcPr>
          <w:p>
            <w:pPr>
              <w:spacing w:before="48" w:beforeLines="20" w:after="48" w:afterLines="20"/>
              <w:jc w:val="left"/>
              <w:rPr>
                <w:rFonts w:eastAsia="仿宋_GB2312"/>
                <w:color w:val="000000"/>
                <w:sz w:val="24"/>
                <w:szCs w:val="24"/>
              </w:rPr>
            </w:pPr>
            <w:r>
              <w:rPr>
                <w:rFonts w:eastAsia="仿宋_GB2312"/>
                <w:color w:val="000000"/>
                <w:sz w:val="24"/>
                <w:szCs w:val="24"/>
              </w:rPr>
              <w:t>努力成为世界主要科学中心和创新高地——深入学习习近平总书记关于建设科技强国的重要论述</w:t>
            </w:r>
          </w:p>
        </w:tc>
        <w:tc>
          <w:tcPr>
            <w:tcW w:w="1113" w:type="dxa"/>
            <w:noWrap w:val="0"/>
            <w:vAlign w:val="center"/>
          </w:tcPr>
          <w:p>
            <w:pPr>
              <w:spacing w:before="48" w:beforeLines="20" w:after="48" w:afterLines="20"/>
              <w:jc w:val="center"/>
              <w:rPr>
                <w:rFonts w:eastAsia="仿宋_GB2312"/>
                <w:color w:val="000000"/>
                <w:sz w:val="24"/>
                <w:szCs w:val="24"/>
              </w:rPr>
            </w:pPr>
            <w:r>
              <w:rPr>
                <w:rFonts w:eastAsia="仿宋_GB2312"/>
                <w:color w:val="000000"/>
                <w:sz w:val="24"/>
                <w:szCs w:val="24"/>
              </w:rPr>
              <w:t>潘教峰</w:t>
            </w:r>
          </w:p>
        </w:tc>
        <w:tc>
          <w:tcPr>
            <w:tcW w:w="4116" w:type="dxa"/>
            <w:noWrap w:val="0"/>
            <w:vAlign w:val="center"/>
          </w:tcPr>
          <w:p>
            <w:pPr>
              <w:spacing w:before="48" w:beforeLines="20" w:after="48" w:afterLines="20"/>
              <w:jc w:val="left"/>
              <w:rPr>
                <w:rFonts w:eastAsia="仿宋_GB2312"/>
                <w:color w:val="000000"/>
                <w:sz w:val="24"/>
                <w:szCs w:val="24"/>
              </w:rPr>
            </w:pPr>
            <w:r>
              <w:rPr>
                <w:rFonts w:eastAsia="仿宋_GB2312"/>
                <w:color w:val="000000"/>
                <w:sz w:val="24"/>
                <w:szCs w:val="24"/>
              </w:rPr>
              <w:t>中国科学院科技战略咨询研究院院长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415" w:type="dxa"/>
            <w:vMerge w:val="continue"/>
            <w:noWrap/>
            <w:vAlign w:val="center"/>
          </w:tcPr>
          <w:p>
            <w:pPr>
              <w:snapToGrid w:val="0"/>
              <w:spacing w:line="264" w:lineRule="auto"/>
              <w:jc w:val="center"/>
              <w:rPr>
                <w:rFonts w:eastAsia="仿宋_GB2312"/>
                <w:b/>
                <w:bCs/>
                <w:color w:val="000000"/>
                <w:sz w:val="28"/>
                <w:szCs w:val="28"/>
              </w:rPr>
            </w:pPr>
          </w:p>
        </w:tc>
        <w:tc>
          <w:tcPr>
            <w:tcW w:w="3444" w:type="dxa"/>
            <w:noWrap w:val="0"/>
            <w:vAlign w:val="center"/>
          </w:tcPr>
          <w:p>
            <w:pPr>
              <w:spacing w:before="48" w:beforeLines="20" w:after="48" w:afterLines="20"/>
              <w:jc w:val="left"/>
              <w:rPr>
                <w:rFonts w:eastAsia="仿宋_GB2312"/>
                <w:color w:val="000000"/>
                <w:sz w:val="24"/>
                <w:szCs w:val="24"/>
              </w:rPr>
            </w:pPr>
            <w:r>
              <w:rPr>
                <w:rFonts w:eastAsia="仿宋_GB2312"/>
                <w:color w:val="000000"/>
                <w:sz w:val="24"/>
                <w:szCs w:val="24"/>
              </w:rPr>
              <w:t>认真学习贯彻习近平总书记关于加强和改进民族工作的重要思想</w:t>
            </w:r>
          </w:p>
        </w:tc>
        <w:tc>
          <w:tcPr>
            <w:tcW w:w="1113" w:type="dxa"/>
            <w:noWrap w:val="0"/>
            <w:vAlign w:val="center"/>
          </w:tcPr>
          <w:p>
            <w:pPr>
              <w:spacing w:before="48" w:beforeLines="20" w:after="48" w:afterLines="20"/>
              <w:jc w:val="center"/>
              <w:rPr>
                <w:rFonts w:eastAsia="仿宋_GB2312"/>
                <w:color w:val="000000"/>
                <w:sz w:val="24"/>
                <w:szCs w:val="24"/>
              </w:rPr>
            </w:pPr>
            <w:r>
              <w:rPr>
                <w:rFonts w:eastAsia="仿宋_GB2312"/>
                <w:color w:val="000000"/>
                <w:sz w:val="24"/>
                <w:szCs w:val="24"/>
              </w:rPr>
              <w:t>沈桂萍</w:t>
            </w:r>
          </w:p>
        </w:tc>
        <w:tc>
          <w:tcPr>
            <w:tcW w:w="4116" w:type="dxa"/>
            <w:noWrap w:val="0"/>
            <w:vAlign w:val="center"/>
          </w:tcPr>
          <w:p>
            <w:pPr>
              <w:spacing w:before="48" w:beforeLines="20" w:after="48" w:afterLines="20"/>
              <w:jc w:val="left"/>
              <w:rPr>
                <w:rFonts w:eastAsia="仿宋_GB2312"/>
                <w:color w:val="000000"/>
                <w:sz w:val="24"/>
                <w:szCs w:val="24"/>
              </w:rPr>
            </w:pPr>
            <w:r>
              <w:rPr>
                <w:rFonts w:eastAsia="仿宋_GB2312"/>
                <w:color w:val="000000"/>
                <w:sz w:val="24"/>
                <w:szCs w:val="24"/>
              </w:rPr>
              <w:t>浙江大学国家制度研究院研究员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415" w:type="dxa"/>
            <w:vMerge w:val="restart"/>
            <w:noWrap w:val="0"/>
            <w:vAlign w:val="center"/>
          </w:tcPr>
          <w:p>
            <w:pPr>
              <w:snapToGrid w:val="0"/>
              <w:spacing w:line="264" w:lineRule="auto"/>
              <w:jc w:val="center"/>
              <w:rPr>
                <w:rFonts w:eastAsia="仿宋_GB2312"/>
                <w:b/>
                <w:bCs/>
                <w:color w:val="000000"/>
                <w:sz w:val="28"/>
                <w:szCs w:val="28"/>
              </w:rPr>
            </w:pPr>
            <w:r>
              <w:rPr>
                <w:rFonts w:eastAsia="仿宋_GB2312"/>
                <w:b/>
                <w:bCs/>
                <w:color w:val="000000"/>
                <w:sz w:val="28"/>
                <w:szCs w:val="28"/>
              </w:rPr>
              <w:t>党的性质宗旨教育</w:t>
            </w:r>
          </w:p>
        </w:tc>
        <w:tc>
          <w:tcPr>
            <w:tcW w:w="3444" w:type="dxa"/>
            <w:noWrap w:val="0"/>
            <w:vAlign w:val="center"/>
          </w:tcPr>
          <w:p>
            <w:pPr>
              <w:spacing w:before="48" w:beforeLines="20" w:after="48" w:afterLines="20"/>
              <w:jc w:val="left"/>
              <w:rPr>
                <w:rFonts w:eastAsia="仿宋_GB2312"/>
                <w:color w:val="000000"/>
                <w:sz w:val="24"/>
                <w:szCs w:val="24"/>
                <w:lang w:val="zh-TW" w:eastAsia="zh-TW"/>
              </w:rPr>
            </w:pPr>
            <w:r>
              <w:rPr>
                <w:rFonts w:eastAsia="仿宋_GB2312"/>
                <w:color w:val="000000"/>
                <w:sz w:val="24"/>
                <w:szCs w:val="24"/>
              </w:rPr>
              <w:t>深入学习中国共产党章程的历史演进 深刻领会党的百年奋斗理论创新、实践创新和制度创新伟大成就</w:t>
            </w:r>
          </w:p>
        </w:tc>
        <w:tc>
          <w:tcPr>
            <w:tcW w:w="1113" w:type="dxa"/>
            <w:noWrap w:val="0"/>
            <w:vAlign w:val="center"/>
          </w:tcPr>
          <w:p>
            <w:pPr>
              <w:spacing w:before="48" w:beforeLines="20" w:after="48" w:afterLines="20"/>
              <w:jc w:val="center"/>
              <w:rPr>
                <w:rFonts w:eastAsia="仿宋_GB2312"/>
                <w:color w:val="000000"/>
                <w:sz w:val="24"/>
                <w:szCs w:val="24"/>
                <w:lang w:val="zh-TW" w:eastAsia="zh-TW"/>
              </w:rPr>
            </w:pPr>
            <w:r>
              <w:rPr>
                <w:rFonts w:eastAsia="仿宋_GB2312"/>
                <w:color w:val="000000"/>
                <w:sz w:val="24"/>
                <w:szCs w:val="24"/>
              </w:rPr>
              <w:t>邓纯东</w:t>
            </w:r>
          </w:p>
        </w:tc>
        <w:tc>
          <w:tcPr>
            <w:tcW w:w="4116" w:type="dxa"/>
            <w:noWrap w:val="0"/>
            <w:vAlign w:val="center"/>
          </w:tcPr>
          <w:p>
            <w:pPr>
              <w:spacing w:before="48" w:beforeLines="20" w:after="48" w:afterLines="20"/>
              <w:jc w:val="left"/>
              <w:rPr>
                <w:rFonts w:eastAsia="仿宋_GB2312"/>
                <w:color w:val="000000"/>
                <w:sz w:val="24"/>
                <w:szCs w:val="24"/>
                <w:lang w:val="zh-TW" w:eastAsia="zh-TW"/>
              </w:rPr>
            </w:pPr>
            <w:r>
              <w:rPr>
                <w:rFonts w:eastAsia="仿宋_GB2312"/>
                <w:color w:val="000000"/>
                <w:sz w:val="24"/>
                <w:szCs w:val="24"/>
              </w:rPr>
              <w:t>中国社会科学院马克思主义研究院原党委书记、院长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415" w:type="dxa"/>
            <w:vMerge w:val="continue"/>
            <w:noWrap w:val="0"/>
            <w:vAlign w:val="center"/>
          </w:tcPr>
          <w:p>
            <w:pPr>
              <w:snapToGrid w:val="0"/>
              <w:spacing w:line="264" w:lineRule="auto"/>
              <w:jc w:val="center"/>
              <w:rPr>
                <w:rFonts w:eastAsia="仿宋_GB2312"/>
                <w:b/>
                <w:bCs/>
                <w:color w:val="000000"/>
                <w:sz w:val="28"/>
                <w:szCs w:val="28"/>
              </w:rPr>
            </w:pPr>
          </w:p>
        </w:tc>
        <w:tc>
          <w:tcPr>
            <w:tcW w:w="3444" w:type="dxa"/>
            <w:noWrap w:val="0"/>
            <w:vAlign w:val="center"/>
          </w:tcPr>
          <w:p>
            <w:pPr>
              <w:spacing w:before="48" w:beforeLines="20" w:after="48" w:afterLines="20"/>
              <w:jc w:val="left"/>
              <w:rPr>
                <w:rFonts w:eastAsia="仿宋_GB2312"/>
                <w:color w:val="000000"/>
                <w:sz w:val="24"/>
                <w:szCs w:val="24"/>
              </w:rPr>
            </w:pPr>
            <w:r>
              <w:rPr>
                <w:rFonts w:eastAsia="仿宋_GB2312"/>
                <w:color w:val="000000"/>
                <w:sz w:val="24"/>
                <w:szCs w:val="24"/>
              </w:rPr>
              <w:t>严守组织纪律</w:t>
            </w:r>
          </w:p>
        </w:tc>
        <w:tc>
          <w:tcPr>
            <w:tcW w:w="1113" w:type="dxa"/>
            <w:noWrap w:val="0"/>
            <w:vAlign w:val="center"/>
          </w:tcPr>
          <w:p>
            <w:pPr>
              <w:spacing w:before="48" w:beforeLines="20" w:after="48" w:afterLines="20"/>
              <w:jc w:val="center"/>
              <w:rPr>
                <w:rFonts w:eastAsia="仿宋_GB2312"/>
                <w:color w:val="000000"/>
                <w:sz w:val="24"/>
                <w:szCs w:val="24"/>
              </w:rPr>
            </w:pPr>
            <w:r>
              <w:rPr>
                <w:rFonts w:eastAsia="仿宋_GB2312"/>
                <w:color w:val="000000"/>
                <w:sz w:val="24"/>
                <w:szCs w:val="24"/>
              </w:rPr>
              <w:t>微  课</w:t>
            </w:r>
          </w:p>
        </w:tc>
        <w:tc>
          <w:tcPr>
            <w:tcW w:w="4116" w:type="dxa"/>
            <w:noWrap w:val="0"/>
            <w:vAlign w:val="center"/>
          </w:tcPr>
          <w:p>
            <w:pPr>
              <w:spacing w:before="48" w:beforeLines="20" w:after="48" w:afterLines="20"/>
              <w:jc w:val="left"/>
              <w:rPr>
                <w:rFonts w:eastAsia="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415" w:type="dxa"/>
            <w:vMerge w:val="continue"/>
            <w:noWrap w:val="0"/>
            <w:vAlign w:val="center"/>
          </w:tcPr>
          <w:p>
            <w:pPr>
              <w:widowControl/>
              <w:snapToGrid w:val="0"/>
              <w:spacing w:line="264" w:lineRule="auto"/>
              <w:jc w:val="center"/>
              <w:rPr>
                <w:rFonts w:eastAsia="仿宋_GB2312"/>
                <w:color w:val="000000"/>
                <w:kern w:val="0"/>
                <w:sz w:val="22"/>
                <w:u w:val="none" w:color="000000"/>
              </w:rPr>
            </w:pPr>
          </w:p>
        </w:tc>
        <w:tc>
          <w:tcPr>
            <w:tcW w:w="3444" w:type="dxa"/>
            <w:noWrap/>
            <w:vAlign w:val="center"/>
          </w:tcPr>
          <w:p>
            <w:pPr>
              <w:spacing w:before="48" w:beforeLines="20" w:after="48" w:afterLines="20"/>
              <w:jc w:val="left"/>
              <w:rPr>
                <w:rFonts w:eastAsia="仿宋_GB2312"/>
                <w:color w:val="000000"/>
                <w:sz w:val="24"/>
                <w:szCs w:val="24"/>
                <w:lang w:val="zh-TW" w:eastAsia="zh-TW"/>
              </w:rPr>
            </w:pPr>
            <w:r>
              <w:rPr>
                <w:rFonts w:eastAsia="仿宋_GB2312"/>
                <w:color w:val="000000"/>
                <w:sz w:val="24"/>
                <w:szCs w:val="24"/>
              </w:rPr>
              <w:t>以伟大自我革命引领伟大社会革命</w:t>
            </w:r>
          </w:p>
        </w:tc>
        <w:tc>
          <w:tcPr>
            <w:tcW w:w="1113" w:type="dxa"/>
            <w:noWrap/>
            <w:vAlign w:val="center"/>
          </w:tcPr>
          <w:p>
            <w:pPr>
              <w:spacing w:before="48" w:beforeLines="20" w:after="48" w:afterLines="20"/>
              <w:jc w:val="center"/>
              <w:rPr>
                <w:rFonts w:eastAsia="仿宋_GB2312"/>
                <w:color w:val="000000"/>
                <w:sz w:val="24"/>
                <w:szCs w:val="24"/>
                <w:lang w:val="zh-TW" w:eastAsia="zh-TW"/>
              </w:rPr>
            </w:pPr>
            <w:r>
              <w:rPr>
                <w:rFonts w:eastAsia="仿宋_GB2312"/>
                <w:color w:val="000000"/>
                <w:sz w:val="24"/>
                <w:szCs w:val="24"/>
              </w:rPr>
              <w:t>辛向阳</w:t>
            </w:r>
          </w:p>
        </w:tc>
        <w:tc>
          <w:tcPr>
            <w:tcW w:w="4116" w:type="dxa"/>
            <w:noWrap/>
            <w:vAlign w:val="center"/>
          </w:tcPr>
          <w:p>
            <w:pPr>
              <w:spacing w:before="48" w:beforeLines="20" w:after="48" w:afterLines="20"/>
              <w:jc w:val="left"/>
              <w:rPr>
                <w:rFonts w:eastAsia="仿宋_GB2312"/>
                <w:color w:val="000000"/>
                <w:sz w:val="24"/>
                <w:szCs w:val="24"/>
                <w:lang w:val="zh-TW" w:eastAsia="zh-TW"/>
              </w:rPr>
            </w:pPr>
            <w:r>
              <w:rPr>
                <w:rFonts w:eastAsia="仿宋_GB2312"/>
                <w:color w:val="000000"/>
                <w:sz w:val="24"/>
                <w:szCs w:val="24"/>
              </w:rPr>
              <w:t>中国社会科学院马克思主义研究院党委书记、副院长，教授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415" w:type="dxa"/>
            <w:vMerge w:val="restart"/>
            <w:noWrap w:val="0"/>
            <w:vAlign w:val="center"/>
          </w:tcPr>
          <w:p>
            <w:pPr>
              <w:widowControl/>
              <w:snapToGrid w:val="0"/>
              <w:spacing w:line="264" w:lineRule="auto"/>
              <w:jc w:val="center"/>
              <w:rPr>
                <w:rFonts w:eastAsia="仿宋_GB2312"/>
                <w:b/>
                <w:bCs/>
                <w:color w:val="000000"/>
                <w:sz w:val="28"/>
                <w:szCs w:val="28"/>
              </w:rPr>
            </w:pPr>
            <w:r>
              <w:rPr>
                <w:rFonts w:eastAsia="仿宋_GB2312"/>
                <w:b/>
                <w:bCs/>
                <w:color w:val="000000"/>
                <w:sz w:val="28"/>
                <w:szCs w:val="28"/>
              </w:rPr>
              <w:t>党史和党的基本知识</w:t>
            </w:r>
          </w:p>
        </w:tc>
        <w:tc>
          <w:tcPr>
            <w:tcW w:w="3444" w:type="dxa"/>
            <w:noWrap w:val="0"/>
            <w:vAlign w:val="center"/>
          </w:tcPr>
          <w:p>
            <w:pPr>
              <w:spacing w:before="48" w:beforeLines="20" w:after="48" w:afterLines="20"/>
              <w:jc w:val="left"/>
              <w:rPr>
                <w:rFonts w:eastAsia="仿宋_GB2312"/>
                <w:color w:val="000000"/>
                <w:sz w:val="24"/>
                <w:szCs w:val="24"/>
              </w:rPr>
            </w:pPr>
            <w:r>
              <w:rPr>
                <w:rFonts w:eastAsia="仿宋_GB2312"/>
                <w:color w:val="000000"/>
                <w:sz w:val="24"/>
                <w:szCs w:val="24"/>
              </w:rPr>
              <w:t>中国共产党百年奋斗的历史经验</w:t>
            </w:r>
          </w:p>
        </w:tc>
        <w:tc>
          <w:tcPr>
            <w:tcW w:w="1113" w:type="dxa"/>
            <w:noWrap/>
            <w:vAlign w:val="center"/>
          </w:tcPr>
          <w:p>
            <w:pPr>
              <w:spacing w:before="48" w:beforeLines="20" w:after="48" w:afterLines="20"/>
              <w:jc w:val="center"/>
              <w:rPr>
                <w:rFonts w:eastAsia="仿宋_GB2312"/>
                <w:color w:val="000000"/>
                <w:sz w:val="24"/>
                <w:szCs w:val="24"/>
              </w:rPr>
            </w:pPr>
            <w:r>
              <w:rPr>
                <w:rFonts w:eastAsia="仿宋_GB2312"/>
                <w:color w:val="000000"/>
                <w:sz w:val="24"/>
                <w:szCs w:val="24"/>
              </w:rPr>
              <w:t>颜晓峰</w:t>
            </w:r>
          </w:p>
        </w:tc>
        <w:tc>
          <w:tcPr>
            <w:tcW w:w="4116" w:type="dxa"/>
            <w:noWrap w:val="0"/>
            <w:vAlign w:val="center"/>
          </w:tcPr>
          <w:p>
            <w:pPr>
              <w:spacing w:before="48" w:beforeLines="20" w:after="48" w:afterLines="20"/>
              <w:jc w:val="left"/>
              <w:rPr>
                <w:rFonts w:eastAsia="仿宋_GB2312"/>
                <w:color w:val="000000"/>
                <w:sz w:val="24"/>
                <w:szCs w:val="24"/>
              </w:rPr>
            </w:pPr>
            <w:r>
              <w:rPr>
                <w:rFonts w:eastAsia="仿宋_GB2312"/>
                <w:color w:val="000000"/>
                <w:sz w:val="24"/>
                <w:szCs w:val="24"/>
              </w:rPr>
              <w:t>天津大学马克思主义学院院长、教授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415" w:type="dxa"/>
            <w:vMerge w:val="continue"/>
            <w:noWrap w:val="0"/>
            <w:vAlign w:val="center"/>
          </w:tcPr>
          <w:p>
            <w:pPr>
              <w:widowControl/>
              <w:snapToGrid w:val="0"/>
              <w:spacing w:line="264" w:lineRule="auto"/>
              <w:jc w:val="center"/>
              <w:rPr>
                <w:rFonts w:eastAsia="仿宋_GB2312"/>
                <w:b/>
                <w:bCs/>
                <w:color w:val="000000"/>
                <w:sz w:val="28"/>
                <w:szCs w:val="28"/>
              </w:rPr>
            </w:pPr>
          </w:p>
        </w:tc>
        <w:tc>
          <w:tcPr>
            <w:tcW w:w="3444" w:type="dxa"/>
            <w:noWrap w:val="0"/>
            <w:vAlign w:val="center"/>
          </w:tcPr>
          <w:p>
            <w:pPr>
              <w:spacing w:before="48" w:beforeLines="20" w:after="48" w:afterLines="20"/>
              <w:jc w:val="left"/>
              <w:rPr>
                <w:rFonts w:eastAsia="仿宋_GB2312"/>
                <w:color w:val="000000"/>
                <w:sz w:val="24"/>
                <w:szCs w:val="24"/>
              </w:rPr>
            </w:pPr>
            <w:r>
              <w:rPr>
                <w:rFonts w:eastAsia="仿宋_GB2312"/>
                <w:color w:val="000000"/>
                <w:sz w:val="24"/>
                <w:szCs w:val="24"/>
              </w:rPr>
              <w:t>新时代新征程中国共产党的使命任务——以中国式现代化全面推进中华民族伟大复兴</w:t>
            </w:r>
          </w:p>
        </w:tc>
        <w:tc>
          <w:tcPr>
            <w:tcW w:w="1113" w:type="dxa"/>
            <w:noWrap/>
            <w:vAlign w:val="center"/>
          </w:tcPr>
          <w:p>
            <w:pPr>
              <w:spacing w:before="48" w:beforeLines="20" w:after="48" w:afterLines="20"/>
              <w:jc w:val="center"/>
              <w:rPr>
                <w:rFonts w:eastAsia="仿宋_GB2312"/>
                <w:color w:val="000000"/>
                <w:sz w:val="24"/>
                <w:szCs w:val="24"/>
              </w:rPr>
            </w:pPr>
            <w:r>
              <w:rPr>
                <w:rFonts w:eastAsia="仿宋_GB2312"/>
                <w:color w:val="000000"/>
                <w:sz w:val="24"/>
                <w:szCs w:val="24"/>
              </w:rPr>
              <w:t>秦  强</w:t>
            </w:r>
          </w:p>
        </w:tc>
        <w:tc>
          <w:tcPr>
            <w:tcW w:w="4116" w:type="dxa"/>
            <w:noWrap w:val="0"/>
            <w:vAlign w:val="center"/>
          </w:tcPr>
          <w:p>
            <w:pPr>
              <w:spacing w:before="48" w:beforeLines="20" w:after="48" w:afterLines="20"/>
              <w:jc w:val="left"/>
              <w:rPr>
                <w:rFonts w:eastAsia="仿宋_GB2312"/>
                <w:color w:val="000000"/>
                <w:sz w:val="24"/>
                <w:szCs w:val="24"/>
              </w:rPr>
            </w:pPr>
            <w:r>
              <w:rPr>
                <w:rFonts w:eastAsia="仿宋_GB2312"/>
                <w:color w:val="000000"/>
                <w:sz w:val="24"/>
                <w:szCs w:val="24"/>
              </w:rPr>
              <w:t>中共中央党校（国家行政学院）教授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415" w:type="dxa"/>
            <w:vMerge w:val="continue"/>
            <w:noWrap w:val="0"/>
            <w:vAlign w:val="center"/>
          </w:tcPr>
          <w:p>
            <w:pPr>
              <w:widowControl/>
              <w:snapToGrid w:val="0"/>
              <w:spacing w:line="264" w:lineRule="auto"/>
              <w:jc w:val="center"/>
              <w:rPr>
                <w:rFonts w:eastAsia="仿宋_GB2312"/>
                <w:b/>
                <w:bCs/>
                <w:color w:val="000000"/>
                <w:sz w:val="28"/>
                <w:szCs w:val="28"/>
              </w:rPr>
            </w:pPr>
          </w:p>
        </w:tc>
        <w:tc>
          <w:tcPr>
            <w:tcW w:w="3444" w:type="dxa"/>
            <w:noWrap w:val="0"/>
            <w:vAlign w:val="center"/>
          </w:tcPr>
          <w:p>
            <w:pPr>
              <w:spacing w:before="48" w:beforeLines="20" w:after="48" w:afterLines="20"/>
              <w:jc w:val="left"/>
              <w:rPr>
                <w:rFonts w:eastAsia="仿宋_GB2312"/>
                <w:color w:val="000000"/>
                <w:sz w:val="24"/>
                <w:szCs w:val="24"/>
              </w:rPr>
            </w:pPr>
            <w:r>
              <w:rPr>
                <w:rFonts w:eastAsia="仿宋_GB2312"/>
                <w:color w:val="000000"/>
                <w:sz w:val="24"/>
                <w:szCs w:val="24"/>
              </w:rPr>
              <w:t>二十大党章修改的背景及考量</w:t>
            </w:r>
          </w:p>
        </w:tc>
        <w:tc>
          <w:tcPr>
            <w:tcW w:w="1113" w:type="dxa"/>
            <w:vMerge w:val="restart"/>
            <w:noWrap/>
            <w:vAlign w:val="center"/>
          </w:tcPr>
          <w:p>
            <w:pPr>
              <w:spacing w:before="48" w:beforeLines="20" w:after="48" w:afterLines="20"/>
              <w:jc w:val="center"/>
              <w:rPr>
                <w:rFonts w:eastAsia="仿宋_GB2312"/>
                <w:color w:val="000000"/>
                <w:sz w:val="24"/>
                <w:szCs w:val="24"/>
              </w:rPr>
            </w:pPr>
            <w:r>
              <w:rPr>
                <w:rFonts w:eastAsia="仿宋_GB2312"/>
                <w:color w:val="000000"/>
                <w:sz w:val="24"/>
                <w:szCs w:val="24"/>
              </w:rPr>
              <w:t>曹鹏飞</w:t>
            </w:r>
          </w:p>
        </w:tc>
        <w:tc>
          <w:tcPr>
            <w:tcW w:w="4116" w:type="dxa"/>
            <w:vMerge w:val="restart"/>
            <w:noWrap w:val="0"/>
            <w:vAlign w:val="center"/>
          </w:tcPr>
          <w:p>
            <w:pPr>
              <w:spacing w:before="48" w:beforeLines="20" w:after="48" w:afterLines="20"/>
              <w:jc w:val="left"/>
              <w:rPr>
                <w:rFonts w:eastAsia="仿宋_GB2312"/>
                <w:color w:val="000000"/>
                <w:sz w:val="24"/>
                <w:szCs w:val="24"/>
              </w:rPr>
            </w:pPr>
            <w:r>
              <w:rPr>
                <w:rFonts w:eastAsia="仿宋_GB2312"/>
                <w:color w:val="000000"/>
                <w:sz w:val="24"/>
                <w:szCs w:val="24"/>
              </w:rPr>
              <w:t>中共中央党校（国家行政学院）教授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415" w:type="dxa"/>
            <w:vMerge w:val="continue"/>
            <w:noWrap w:val="0"/>
            <w:vAlign w:val="center"/>
          </w:tcPr>
          <w:p>
            <w:pPr>
              <w:widowControl/>
              <w:snapToGrid w:val="0"/>
              <w:spacing w:line="264" w:lineRule="auto"/>
              <w:jc w:val="center"/>
              <w:rPr>
                <w:rFonts w:eastAsia="仿宋_GB2312"/>
                <w:b/>
                <w:bCs/>
                <w:color w:val="000000"/>
                <w:sz w:val="28"/>
                <w:szCs w:val="28"/>
              </w:rPr>
            </w:pPr>
          </w:p>
        </w:tc>
        <w:tc>
          <w:tcPr>
            <w:tcW w:w="3444" w:type="dxa"/>
            <w:noWrap w:val="0"/>
            <w:vAlign w:val="center"/>
          </w:tcPr>
          <w:p>
            <w:pPr>
              <w:spacing w:before="48" w:beforeLines="20" w:after="48" w:afterLines="20"/>
              <w:jc w:val="left"/>
              <w:rPr>
                <w:rFonts w:eastAsia="仿宋_GB2312"/>
                <w:color w:val="000000"/>
                <w:sz w:val="24"/>
                <w:szCs w:val="24"/>
              </w:rPr>
            </w:pPr>
            <w:r>
              <w:rPr>
                <w:rFonts w:eastAsia="仿宋_GB2312"/>
                <w:color w:val="000000"/>
                <w:sz w:val="24"/>
                <w:szCs w:val="24"/>
              </w:rPr>
              <w:t>二十大党章修改的主要内容</w:t>
            </w:r>
          </w:p>
        </w:tc>
        <w:tc>
          <w:tcPr>
            <w:tcW w:w="1113" w:type="dxa"/>
            <w:vMerge w:val="continue"/>
            <w:noWrap/>
            <w:vAlign w:val="center"/>
          </w:tcPr>
          <w:p>
            <w:pPr>
              <w:spacing w:before="48" w:beforeLines="20" w:after="48" w:afterLines="20"/>
              <w:jc w:val="center"/>
              <w:rPr>
                <w:rFonts w:eastAsia="仿宋_GB2312"/>
                <w:color w:val="000000"/>
                <w:sz w:val="24"/>
                <w:szCs w:val="24"/>
              </w:rPr>
            </w:pPr>
          </w:p>
        </w:tc>
        <w:tc>
          <w:tcPr>
            <w:tcW w:w="4116" w:type="dxa"/>
            <w:vMerge w:val="continue"/>
            <w:noWrap w:val="0"/>
            <w:vAlign w:val="center"/>
          </w:tcPr>
          <w:p>
            <w:pPr>
              <w:spacing w:before="48" w:beforeLines="20" w:after="48" w:afterLines="20"/>
              <w:jc w:val="left"/>
              <w:rPr>
                <w:rFonts w:eastAsia="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415" w:type="dxa"/>
            <w:vMerge w:val="continue"/>
            <w:noWrap w:val="0"/>
            <w:vAlign w:val="center"/>
          </w:tcPr>
          <w:p>
            <w:pPr>
              <w:widowControl/>
              <w:snapToGrid w:val="0"/>
              <w:spacing w:line="264" w:lineRule="auto"/>
              <w:jc w:val="center"/>
              <w:rPr>
                <w:rFonts w:eastAsia="仿宋_GB2312"/>
                <w:b/>
                <w:bCs/>
                <w:color w:val="000000"/>
                <w:sz w:val="28"/>
                <w:szCs w:val="28"/>
              </w:rPr>
            </w:pPr>
          </w:p>
        </w:tc>
        <w:tc>
          <w:tcPr>
            <w:tcW w:w="3444" w:type="dxa"/>
            <w:noWrap w:val="0"/>
            <w:vAlign w:val="center"/>
          </w:tcPr>
          <w:p>
            <w:pPr>
              <w:spacing w:before="48" w:beforeLines="20" w:after="48" w:afterLines="20"/>
              <w:jc w:val="left"/>
              <w:rPr>
                <w:rFonts w:eastAsia="仿宋_GB2312"/>
                <w:color w:val="000000"/>
                <w:sz w:val="24"/>
                <w:szCs w:val="24"/>
              </w:rPr>
            </w:pPr>
            <w:r>
              <w:rPr>
                <w:rFonts w:eastAsia="仿宋_GB2312"/>
                <w:color w:val="000000"/>
                <w:sz w:val="24"/>
                <w:szCs w:val="24"/>
              </w:rPr>
              <w:t>贯彻落实二十大党章的要求</w:t>
            </w:r>
          </w:p>
        </w:tc>
        <w:tc>
          <w:tcPr>
            <w:tcW w:w="1113" w:type="dxa"/>
            <w:vMerge w:val="continue"/>
            <w:noWrap/>
            <w:vAlign w:val="center"/>
          </w:tcPr>
          <w:p>
            <w:pPr>
              <w:spacing w:before="48" w:beforeLines="20" w:after="48" w:afterLines="20"/>
              <w:jc w:val="center"/>
              <w:rPr>
                <w:rFonts w:eastAsia="仿宋_GB2312"/>
                <w:color w:val="000000"/>
                <w:sz w:val="24"/>
                <w:szCs w:val="24"/>
              </w:rPr>
            </w:pPr>
          </w:p>
        </w:tc>
        <w:tc>
          <w:tcPr>
            <w:tcW w:w="4116" w:type="dxa"/>
            <w:vMerge w:val="continue"/>
            <w:noWrap w:val="0"/>
            <w:vAlign w:val="center"/>
          </w:tcPr>
          <w:p>
            <w:pPr>
              <w:spacing w:before="48" w:beforeLines="20" w:after="48" w:afterLines="20"/>
              <w:jc w:val="left"/>
              <w:rPr>
                <w:rFonts w:eastAsia="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415" w:type="dxa"/>
            <w:vMerge w:val="restart"/>
            <w:noWrap w:val="0"/>
            <w:vAlign w:val="center"/>
          </w:tcPr>
          <w:p>
            <w:pPr>
              <w:widowControl/>
              <w:snapToGrid w:val="0"/>
              <w:spacing w:line="264" w:lineRule="auto"/>
              <w:jc w:val="center"/>
              <w:rPr>
                <w:rFonts w:eastAsia="仿宋_GB2312"/>
                <w:b/>
                <w:bCs/>
                <w:color w:val="000000"/>
                <w:kern w:val="0"/>
                <w:sz w:val="28"/>
                <w:szCs w:val="28"/>
                <w:u w:val="none" w:color="000000"/>
              </w:rPr>
            </w:pPr>
            <w:r>
              <w:rPr>
                <w:rFonts w:eastAsia="仿宋_GB2312"/>
                <w:b/>
                <w:bCs/>
                <w:color w:val="000000"/>
                <w:sz w:val="28"/>
                <w:szCs w:val="28"/>
              </w:rPr>
              <w:t>形式政策教育</w:t>
            </w:r>
          </w:p>
        </w:tc>
        <w:tc>
          <w:tcPr>
            <w:tcW w:w="3444" w:type="dxa"/>
            <w:noWrap w:val="0"/>
            <w:vAlign w:val="center"/>
          </w:tcPr>
          <w:p>
            <w:pPr>
              <w:spacing w:before="48" w:beforeLines="20" w:after="48" w:afterLines="20"/>
              <w:jc w:val="left"/>
              <w:rPr>
                <w:rFonts w:eastAsia="仿宋_GB2312"/>
                <w:color w:val="000000"/>
                <w:sz w:val="24"/>
                <w:szCs w:val="24"/>
              </w:rPr>
            </w:pPr>
            <w:r>
              <w:rPr>
                <w:rFonts w:eastAsia="仿宋_GB2312"/>
                <w:color w:val="000000"/>
                <w:sz w:val="24"/>
                <w:szCs w:val="24"/>
              </w:rPr>
              <w:t>国家治理的深刻革命</w:t>
            </w:r>
          </w:p>
        </w:tc>
        <w:tc>
          <w:tcPr>
            <w:tcW w:w="1113" w:type="dxa"/>
            <w:noWrap/>
            <w:vAlign w:val="center"/>
          </w:tcPr>
          <w:p>
            <w:pPr>
              <w:spacing w:before="48" w:beforeLines="20" w:after="48" w:afterLines="20"/>
              <w:jc w:val="center"/>
              <w:rPr>
                <w:rFonts w:eastAsia="仿宋_GB2312"/>
                <w:color w:val="000000"/>
                <w:sz w:val="24"/>
                <w:szCs w:val="24"/>
              </w:rPr>
            </w:pPr>
            <w:r>
              <w:rPr>
                <w:rFonts w:eastAsia="仿宋_GB2312"/>
                <w:color w:val="000000"/>
                <w:sz w:val="24"/>
                <w:szCs w:val="24"/>
              </w:rPr>
              <w:t>李  勇</w:t>
            </w:r>
          </w:p>
        </w:tc>
        <w:tc>
          <w:tcPr>
            <w:tcW w:w="4116" w:type="dxa"/>
            <w:noWrap w:val="0"/>
            <w:vAlign w:val="center"/>
          </w:tcPr>
          <w:p>
            <w:pPr>
              <w:spacing w:before="48" w:beforeLines="20" w:after="48" w:afterLines="20"/>
              <w:jc w:val="left"/>
              <w:rPr>
                <w:rFonts w:eastAsia="仿宋_GB2312"/>
                <w:color w:val="000000"/>
                <w:sz w:val="24"/>
                <w:szCs w:val="24"/>
              </w:rPr>
            </w:pPr>
            <w:r>
              <w:rPr>
                <w:rFonts w:eastAsia="仿宋_GB2312"/>
                <w:color w:val="000000"/>
                <w:sz w:val="24"/>
                <w:szCs w:val="24"/>
              </w:rPr>
              <w:t>中共中央党校（国家行政学院）教授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415" w:type="dxa"/>
            <w:vMerge w:val="continue"/>
            <w:noWrap w:val="0"/>
            <w:vAlign w:val="center"/>
          </w:tcPr>
          <w:p>
            <w:pPr>
              <w:widowControl/>
              <w:snapToGrid w:val="0"/>
              <w:spacing w:line="264" w:lineRule="auto"/>
              <w:jc w:val="center"/>
              <w:rPr>
                <w:rFonts w:eastAsia="仿宋_GB2312"/>
                <w:b/>
                <w:bCs/>
                <w:color w:val="000000"/>
                <w:sz w:val="28"/>
                <w:szCs w:val="28"/>
              </w:rPr>
            </w:pPr>
          </w:p>
        </w:tc>
        <w:tc>
          <w:tcPr>
            <w:tcW w:w="3444" w:type="dxa"/>
            <w:noWrap w:val="0"/>
            <w:vAlign w:val="center"/>
          </w:tcPr>
          <w:p>
            <w:pPr>
              <w:spacing w:before="48" w:beforeLines="20" w:after="48" w:afterLines="20"/>
              <w:jc w:val="left"/>
              <w:rPr>
                <w:rFonts w:eastAsia="仿宋_GB2312"/>
                <w:color w:val="000000"/>
                <w:sz w:val="24"/>
                <w:szCs w:val="24"/>
              </w:rPr>
            </w:pPr>
            <w:r>
              <w:rPr>
                <w:rFonts w:eastAsia="仿宋_GB2312"/>
                <w:color w:val="000000"/>
                <w:sz w:val="24"/>
                <w:szCs w:val="24"/>
              </w:rPr>
              <w:t>“中国之治”的政治基础和制度优势</w:t>
            </w:r>
          </w:p>
        </w:tc>
        <w:tc>
          <w:tcPr>
            <w:tcW w:w="1113" w:type="dxa"/>
            <w:noWrap/>
            <w:vAlign w:val="center"/>
          </w:tcPr>
          <w:p>
            <w:pPr>
              <w:spacing w:before="48" w:beforeLines="20" w:after="48" w:afterLines="20"/>
              <w:jc w:val="center"/>
              <w:rPr>
                <w:rFonts w:eastAsia="仿宋_GB2312"/>
                <w:color w:val="000000"/>
                <w:sz w:val="24"/>
                <w:szCs w:val="24"/>
              </w:rPr>
            </w:pPr>
            <w:r>
              <w:rPr>
                <w:rFonts w:eastAsia="仿宋_GB2312"/>
                <w:color w:val="000000"/>
                <w:sz w:val="24"/>
                <w:szCs w:val="24"/>
              </w:rPr>
              <w:t>王冠中</w:t>
            </w:r>
          </w:p>
        </w:tc>
        <w:tc>
          <w:tcPr>
            <w:tcW w:w="4116" w:type="dxa"/>
            <w:noWrap w:val="0"/>
            <w:vAlign w:val="center"/>
          </w:tcPr>
          <w:p>
            <w:pPr>
              <w:spacing w:before="48" w:beforeLines="20" w:after="48" w:afterLines="20"/>
              <w:jc w:val="left"/>
              <w:rPr>
                <w:rFonts w:eastAsia="仿宋_GB2312"/>
                <w:color w:val="000000"/>
                <w:sz w:val="24"/>
                <w:szCs w:val="24"/>
              </w:rPr>
            </w:pPr>
            <w:r>
              <w:rPr>
                <w:rFonts w:eastAsia="仿宋_GB2312"/>
                <w:color w:val="000000"/>
                <w:sz w:val="24"/>
                <w:szCs w:val="24"/>
              </w:rPr>
              <w:t>首都师范大学马克思主义学院教授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415" w:type="dxa"/>
            <w:vMerge w:val="continue"/>
            <w:noWrap w:val="0"/>
            <w:vAlign w:val="center"/>
          </w:tcPr>
          <w:p>
            <w:pPr>
              <w:widowControl/>
              <w:snapToGrid w:val="0"/>
              <w:spacing w:line="264" w:lineRule="auto"/>
              <w:jc w:val="center"/>
              <w:rPr>
                <w:rFonts w:eastAsia="仿宋_GB2312"/>
                <w:b/>
                <w:bCs/>
                <w:color w:val="000000"/>
                <w:sz w:val="28"/>
                <w:szCs w:val="28"/>
              </w:rPr>
            </w:pPr>
          </w:p>
        </w:tc>
        <w:tc>
          <w:tcPr>
            <w:tcW w:w="3444" w:type="dxa"/>
            <w:noWrap w:val="0"/>
            <w:vAlign w:val="center"/>
          </w:tcPr>
          <w:p>
            <w:pPr>
              <w:spacing w:before="48" w:beforeLines="20" w:after="48" w:afterLines="20"/>
              <w:jc w:val="left"/>
              <w:rPr>
                <w:rFonts w:eastAsia="仿宋_GB2312"/>
                <w:color w:val="000000"/>
                <w:sz w:val="24"/>
                <w:szCs w:val="24"/>
              </w:rPr>
            </w:pPr>
            <w:r>
              <w:rPr>
                <w:rFonts w:eastAsia="仿宋_GB2312"/>
                <w:color w:val="000000"/>
                <w:sz w:val="24"/>
                <w:szCs w:val="24"/>
              </w:rPr>
              <w:t>铸牢中华民族共同体意识的时代内涵与建构路径</w:t>
            </w:r>
          </w:p>
        </w:tc>
        <w:tc>
          <w:tcPr>
            <w:tcW w:w="1113" w:type="dxa"/>
            <w:noWrap/>
            <w:vAlign w:val="center"/>
          </w:tcPr>
          <w:p>
            <w:pPr>
              <w:spacing w:before="48" w:beforeLines="20" w:after="48" w:afterLines="20"/>
              <w:jc w:val="center"/>
              <w:rPr>
                <w:rFonts w:eastAsia="仿宋_GB2312"/>
                <w:color w:val="000000"/>
                <w:sz w:val="24"/>
                <w:szCs w:val="24"/>
              </w:rPr>
            </w:pPr>
            <w:r>
              <w:rPr>
                <w:rFonts w:eastAsia="仿宋_GB2312"/>
                <w:color w:val="000000"/>
                <w:sz w:val="24"/>
                <w:szCs w:val="24"/>
              </w:rPr>
              <w:t>沈桂萍</w:t>
            </w:r>
          </w:p>
        </w:tc>
        <w:tc>
          <w:tcPr>
            <w:tcW w:w="4116" w:type="dxa"/>
            <w:noWrap w:val="0"/>
            <w:vAlign w:val="center"/>
          </w:tcPr>
          <w:p>
            <w:pPr>
              <w:spacing w:before="48" w:beforeLines="20" w:after="48" w:afterLines="20"/>
              <w:jc w:val="left"/>
              <w:rPr>
                <w:rFonts w:eastAsia="仿宋_GB2312"/>
                <w:color w:val="000000"/>
                <w:sz w:val="24"/>
                <w:szCs w:val="24"/>
              </w:rPr>
            </w:pPr>
            <w:r>
              <w:rPr>
                <w:rFonts w:eastAsia="仿宋_GB2312"/>
                <w:color w:val="000000"/>
                <w:sz w:val="24"/>
                <w:szCs w:val="24"/>
              </w:rPr>
              <w:t>浙江大学国家制度研究院研究员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415" w:type="dxa"/>
            <w:vMerge w:val="continue"/>
            <w:noWrap w:val="0"/>
            <w:vAlign w:val="center"/>
          </w:tcPr>
          <w:p>
            <w:pPr>
              <w:widowControl/>
              <w:snapToGrid w:val="0"/>
              <w:spacing w:line="264" w:lineRule="auto"/>
              <w:jc w:val="center"/>
              <w:rPr>
                <w:rFonts w:eastAsia="仿宋_GB2312"/>
                <w:b/>
                <w:bCs/>
                <w:color w:val="000000"/>
                <w:sz w:val="28"/>
                <w:szCs w:val="28"/>
              </w:rPr>
            </w:pPr>
          </w:p>
        </w:tc>
        <w:tc>
          <w:tcPr>
            <w:tcW w:w="3444" w:type="dxa"/>
            <w:noWrap w:val="0"/>
            <w:vAlign w:val="center"/>
          </w:tcPr>
          <w:p>
            <w:pPr>
              <w:spacing w:before="48" w:beforeLines="20" w:after="48" w:afterLines="20"/>
              <w:jc w:val="left"/>
              <w:rPr>
                <w:rFonts w:eastAsia="仿宋_GB2312"/>
                <w:color w:val="000000"/>
                <w:sz w:val="24"/>
                <w:szCs w:val="24"/>
              </w:rPr>
            </w:pPr>
            <w:r>
              <w:rPr>
                <w:rFonts w:eastAsia="仿宋_GB2312"/>
                <w:color w:val="000000"/>
                <w:sz w:val="24"/>
                <w:szCs w:val="24"/>
              </w:rPr>
              <w:t>推进文化自信自强，铸就社会主义文化新辉煌</w:t>
            </w:r>
          </w:p>
        </w:tc>
        <w:tc>
          <w:tcPr>
            <w:tcW w:w="1113" w:type="dxa"/>
            <w:noWrap/>
            <w:vAlign w:val="center"/>
          </w:tcPr>
          <w:p>
            <w:pPr>
              <w:spacing w:before="48" w:beforeLines="20" w:after="48" w:afterLines="20"/>
              <w:jc w:val="center"/>
              <w:rPr>
                <w:rFonts w:eastAsia="仿宋_GB2312"/>
                <w:color w:val="000000"/>
                <w:sz w:val="24"/>
                <w:szCs w:val="24"/>
              </w:rPr>
            </w:pPr>
            <w:r>
              <w:rPr>
                <w:rFonts w:eastAsia="仿宋_GB2312"/>
                <w:color w:val="000000"/>
                <w:sz w:val="24"/>
                <w:szCs w:val="24"/>
              </w:rPr>
              <w:t>魏鹏举</w:t>
            </w:r>
          </w:p>
        </w:tc>
        <w:tc>
          <w:tcPr>
            <w:tcW w:w="4116" w:type="dxa"/>
            <w:noWrap w:val="0"/>
            <w:vAlign w:val="center"/>
          </w:tcPr>
          <w:p>
            <w:pPr>
              <w:spacing w:before="48" w:beforeLines="20" w:after="48" w:afterLines="20"/>
              <w:jc w:val="left"/>
              <w:rPr>
                <w:rFonts w:eastAsia="仿宋_GB2312"/>
                <w:color w:val="000000"/>
                <w:sz w:val="24"/>
                <w:szCs w:val="24"/>
              </w:rPr>
            </w:pPr>
            <w:r>
              <w:rPr>
                <w:rFonts w:eastAsia="仿宋_GB2312"/>
                <w:color w:val="000000"/>
                <w:sz w:val="24"/>
                <w:szCs w:val="24"/>
              </w:rPr>
              <w:t>中央财经大学文化经济研究院院长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415" w:type="dxa"/>
            <w:vMerge w:val="continue"/>
            <w:noWrap w:val="0"/>
            <w:vAlign w:val="center"/>
          </w:tcPr>
          <w:p>
            <w:pPr>
              <w:widowControl/>
              <w:snapToGrid w:val="0"/>
              <w:spacing w:line="264" w:lineRule="auto"/>
              <w:jc w:val="center"/>
              <w:rPr>
                <w:rFonts w:eastAsia="仿宋_GB2312"/>
                <w:b/>
                <w:bCs/>
                <w:color w:val="000000"/>
                <w:sz w:val="28"/>
                <w:szCs w:val="28"/>
              </w:rPr>
            </w:pPr>
          </w:p>
        </w:tc>
        <w:tc>
          <w:tcPr>
            <w:tcW w:w="3444" w:type="dxa"/>
            <w:noWrap w:val="0"/>
            <w:vAlign w:val="center"/>
          </w:tcPr>
          <w:p>
            <w:pPr>
              <w:spacing w:before="48" w:beforeLines="20" w:after="48" w:afterLines="20"/>
              <w:jc w:val="left"/>
              <w:rPr>
                <w:rFonts w:eastAsia="仿宋_GB2312"/>
                <w:color w:val="000000"/>
                <w:sz w:val="24"/>
                <w:szCs w:val="24"/>
              </w:rPr>
            </w:pPr>
            <w:r>
              <w:rPr>
                <w:rFonts w:eastAsia="仿宋_GB2312"/>
                <w:color w:val="000000"/>
                <w:sz w:val="24"/>
                <w:szCs w:val="24"/>
              </w:rPr>
              <w:t>新时代的中国与世界——中国和平发展面临的国际局势与战略应对</w:t>
            </w:r>
          </w:p>
        </w:tc>
        <w:tc>
          <w:tcPr>
            <w:tcW w:w="1113" w:type="dxa"/>
            <w:noWrap/>
            <w:vAlign w:val="center"/>
          </w:tcPr>
          <w:p>
            <w:pPr>
              <w:spacing w:before="48" w:beforeLines="20" w:after="48" w:afterLines="20"/>
              <w:jc w:val="center"/>
              <w:rPr>
                <w:rFonts w:eastAsia="仿宋_GB2312"/>
                <w:color w:val="000000"/>
                <w:sz w:val="24"/>
                <w:szCs w:val="24"/>
              </w:rPr>
            </w:pPr>
            <w:r>
              <w:rPr>
                <w:rFonts w:eastAsia="仿宋_GB2312"/>
                <w:color w:val="000000"/>
                <w:sz w:val="24"/>
                <w:szCs w:val="24"/>
              </w:rPr>
              <w:t>江瑞平</w:t>
            </w:r>
          </w:p>
        </w:tc>
        <w:tc>
          <w:tcPr>
            <w:tcW w:w="4116" w:type="dxa"/>
            <w:noWrap w:val="0"/>
            <w:vAlign w:val="center"/>
          </w:tcPr>
          <w:p>
            <w:pPr>
              <w:spacing w:before="48" w:beforeLines="20" w:after="48" w:afterLines="20"/>
              <w:jc w:val="left"/>
              <w:rPr>
                <w:rFonts w:eastAsia="仿宋_GB2312"/>
                <w:color w:val="000000"/>
                <w:sz w:val="24"/>
                <w:szCs w:val="24"/>
              </w:rPr>
            </w:pPr>
            <w:r>
              <w:rPr>
                <w:rFonts w:eastAsia="仿宋_GB2312"/>
                <w:color w:val="000000"/>
                <w:sz w:val="24"/>
                <w:szCs w:val="24"/>
              </w:rPr>
              <w:t>外交学院原副院长、教授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415" w:type="dxa"/>
            <w:vMerge w:val="restart"/>
            <w:noWrap w:val="0"/>
            <w:vAlign w:val="center"/>
          </w:tcPr>
          <w:p>
            <w:pPr>
              <w:widowControl/>
              <w:snapToGrid w:val="0"/>
              <w:spacing w:line="264" w:lineRule="auto"/>
              <w:jc w:val="center"/>
              <w:rPr>
                <w:rFonts w:eastAsia="仿宋_GB2312"/>
                <w:b/>
                <w:bCs/>
                <w:color w:val="000000"/>
                <w:sz w:val="28"/>
                <w:szCs w:val="28"/>
              </w:rPr>
            </w:pPr>
            <w:r>
              <w:rPr>
                <w:rFonts w:eastAsia="仿宋_GB2312"/>
                <w:b/>
                <w:bCs/>
                <w:color w:val="000000"/>
                <w:sz w:val="28"/>
                <w:szCs w:val="28"/>
              </w:rPr>
              <w:t>入党积极分子的确定和培养教育</w:t>
            </w:r>
          </w:p>
        </w:tc>
        <w:tc>
          <w:tcPr>
            <w:tcW w:w="3444" w:type="dxa"/>
            <w:noWrap w:val="0"/>
            <w:vAlign w:val="center"/>
          </w:tcPr>
          <w:p>
            <w:pPr>
              <w:spacing w:before="48" w:beforeLines="20" w:after="48" w:afterLines="20"/>
              <w:jc w:val="left"/>
              <w:rPr>
                <w:rFonts w:eastAsia="仿宋_GB2312"/>
                <w:color w:val="000000"/>
                <w:sz w:val="24"/>
                <w:szCs w:val="24"/>
              </w:rPr>
            </w:pPr>
            <w:r>
              <w:rPr>
                <w:rFonts w:eastAsia="仿宋_GB2312"/>
                <w:color w:val="000000"/>
                <w:sz w:val="24"/>
                <w:szCs w:val="24"/>
              </w:rPr>
              <w:t>推荐和确定入党积极分子</w:t>
            </w:r>
          </w:p>
        </w:tc>
        <w:tc>
          <w:tcPr>
            <w:tcW w:w="1113" w:type="dxa"/>
            <w:vMerge w:val="restart"/>
            <w:noWrap/>
            <w:vAlign w:val="center"/>
          </w:tcPr>
          <w:p>
            <w:pPr>
              <w:spacing w:before="48" w:beforeLines="20" w:after="48" w:afterLines="20"/>
              <w:jc w:val="center"/>
              <w:rPr>
                <w:rFonts w:eastAsia="仿宋_GB2312"/>
                <w:color w:val="000000"/>
                <w:sz w:val="24"/>
                <w:szCs w:val="24"/>
              </w:rPr>
            </w:pPr>
            <w:r>
              <w:rPr>
                <w:rFonts w:eastAsia="仿宋_GB2312"/>
                <w:color w:val="000000"/>
                <w:sz w:val="24"/>
                <w:szCs w:val="24"/>
              </w:rPr>
              <w:t>蔡英辉</w:t>
            </w:r>
          </w:p>
        </w:tc>
        <w:tc>
          <w:tcPr>
            <w:tcW w:w="4116" w:type="dxa"/>
            <w:vMerge w:val="restart"/>
            <w:noWrap w:val="0"/>
            <w:vAlign w:val="center"/>
          </w:tcPr>
          <w:p>
            <w:pPr>
              <w:spacing w:before="48" w:beforeLines="20" w:after="48" w:afterLines="20"/>
              <w:jc w:val="left"/>
              <w:rPr>
                <w:rFonts w:eastAsia="仿宋_GB2312"/>
                <w:color w:val="000000"/>
                <w:sz w:val="24"/>
                <w:szCs w:val="24"/>
              </w:rPr>
            </w:pPr>
            <w:r>
              <w:rPr>
                <w:rFonts w:eastAsia="仿宋_GB2312"/>
                <w:color w:val="000000"/>
                <w:sz w:val="24"/>
                <w:szCs w:val="24"/>
              </w:rPr>
              <w:t>对外经济贸易大学组织部组织员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415" w:type="dxa"/>
            <w:vMerge w:val="continue"/>
            <w:noWrap w:val="0"/>
            <w:vAlign w:val="center"/>
          </w:tcPr>
          <w:p>
            <w:pPr>
              <w:widowControl/>
              <w:snapToGrid w:val="0"/>
              <w:spacing w:line="264" w:lineRule="auto"/>
              <w:jc w:val="center"/>
              <w:rPr>
                <w:rFonts w:eastAsia="仿宋_GB2312"/>
                <w:b/>
                <w:bCs/>
                <w:color w:val="000000"/>
                <w:sz w:val="28"/>
                <w:szCs w:val="28"/>
              </w:rPr>
            </w:pPr>
          </w:p>
        </w:tc>
        <w:tc>
          <w:tcPr>
            <w:tcW w:w="3444" w:type="dxa"/>
            <w:noWrap w:val="0"/>
            <w:vAlign w:val="center"/>
          </w:tcPr>
          <w:p>
            <w:pPr>
              <w:spacing w:before="48" w:beforeLines="20" w:after="48" w:afterLines="20"/>
              <w:jc w:val="left"/>
              <w:rPr>
                <w:rFonts w:eastAsia="仿宋_GB2312"/>
                <w:color w:val="000000"/>
                <w:sz w:val="24"/>
                <w:szCs w:val="24"/>
              </w:rPr>
            </w:pPr>
            <w:r>
              <w:rPr>
                <w:rFonts w:eastAsia="仿宋_GB2312"/>
                <w:color w:val="000000"/>
                <w:sz w:val="24"/>
                <w:szCs w:val="24"/>
              </w:rPr>
              <w:t>上级党委备案</w:t>
            </w:r>
          </w:p>
        </w:tc>
        <w:tc>
          <w:tcPr>
            <w:tcW w:w="1113" w:type="dxa"/>
            <w:vMerge w:val="continue"/>
            <w:noWrap/>
            <w:vAlign w:val="center"/>
          </w:tcPr>
          <w:p>
            <w:pPr>
              <w:spacing w:before="48" w:beforeLines="20" w:after="48" w:afterLines="20"/>
              <w:jc w:val="center"/>
              <w:rPr>
                <w:rFonts w:eastAsia="仿宋_GB2312"/>
                <w:color w:val="000000"/>
                <w:sz w:val="24"/>
                <w:szCs w:val="24"/>
              </w:rPr>
            </w:pPr>
          </w:p>
        </w:tc>
        <w:tc>
          <w:tcPr>
            <w:tcW w:w="4116" w:type="dxa"/>
            <w:vMerge w:val="continue"/>
            <w:noWrap w:val="0"/>
            <w:vAlign w:val="center"/>
          </w:tcPr>
          <w:p>
            <w:pPr>
              <w:spacing w:before="48" w:beforeLines="20" w:after="48" w:afterLines="20"/>
              <w:jc w:val="left"/>
              <w:rPr>
                <w:rFonts w:eastAsia="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415" w:type="dxa"/>
            <w:vMerge w:val="continue"/>
            <w:noWrap w:val="0"/>
            <w:vAlign w:val="center"/>
          </w:tcPr>
          <w:p>
            <w:pPr>
              <w:widowControl/>
              <w:snapToGrid w:val="0"/>
              <w:spacing w:line="264" w:lineRule="auto"/>
              <w:jc w:val="center"/>
              <w:rPr>
                <w:rFonts w:eastAsia="仿宋_GB2312"/>
                <w:b/>
                <w:bCs/>
                <w:color w:val="000000"/>
                <w:sz w:val="28"/>
                <w:szCs w:val="28"/>
              </w:rPr>
            </w:pPr>
          </w:p>
        </w:tc>
        <w:tc>
          <w:tcPr>
            <w:tcW w:w="3444" w:type="dxa"/>
            <w:noWrap w:val="0"/>
            <w:vAlign w:val="center"/>
          </w:tcPr>
          <w:p>
            <w:pPr>
              <w:spacing w:before="48" w:beforeLines="20" w:after="48" w:afterLines="20"/>
              <w:jc w:val="left"/>
              <w:rPr>
                <w:rFonts w:eastAsia="仿宋_GB2312"/>
                <w:color w:val="000000"/>
                <w:sz w:val="24"/>
                <w:szCs w:val="24"/>
              </w:rPr>
            </w:pPr>
            <w:r>
              <w:rPr>
                <w:rFonts w:eastAsia="仿宋_GB2312"/>
                <w:color w:val="000000"/>
                <w:sz w:val="24"/>
                <w:szCs w:val="24"/>
              </w:rPr>
              <w:t>指定培养联系人</w:t>
            </w:r>
          </w:p>
        </w:tc>
        <w:tc>
          <w:tcPr>
            <w:tcW w:w="1113" w:type="dxa"/>
            <w:vMerge w:val="continue"/>
            <w:noWrap/>
            <w:vAlign w:val="center"/>
          </w:tcPr>
          <w:p>
            <w:pPr>
              <w:spacing w:before="48" w:beforeLines="20" w:after="48" w:afterLines="20"/>
              <w:jc w:val="center"/>
              <w:rPr>
                <w:rFonts w:eastAsia="仿宋_GB2312"/>
                <w:color w:val="000000"/>
                <w:sz w:val="24"/>
                <w:szCs w:val="24"/>
              </w:rPr>
            </w:pPr>
          </w:p>
        </w:tc>
        <w:tc>
          <w:tcPr>
            <w:tcW w:w="4116" w:type="dxa"/>
            <w:vMerge w:val="continue"/>
            <w:noWrap w:val="0"/>
            <w:vAlign w:val="center"/>
          </w:tcPr>
          <w:p>
            <w:pPr>
              <w:spacing w:before="48" w:beforeLines="20" w:after="48" w:afterLines="20"/>
              <w:jc w:val="left"/>
              <w:rPr>
                <w:rFonts w:eastAsia="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415" w:type="dxa"/>
            <w:vMerge w:val="continue"/>
            <w:noWrap w:val="0"/>
            <w:vAlign w:val="center"/>
          </w:tcPr>
          <w:p>
            <w:pPr>
              <w:widowControl/>
              <w:snapToGrid w:val="0"/>
              <w:spacing w:line="264" w:lineRule="auto"/>
              <w:jc w:val="center"/>
              <w:rPr>
                <w:rFonts w:eastAsia="仿宋_GB2312"/>
                <w:b/>
                <w:bCs/>
                <w:color w:val="000000"/>
                <w:sz w:val="28"/>
                <w:szCs w:val="28"/>
              </w:rPr>
            </w:pPr>
          </w:p>
        </w:tc>
        <w:tc>
          <w:tcPr>
            <w:tcW w:w="3444" w:type="dxa"/>
            <w:noWrap w:val="0"/>
            <w:vAlign w:val="center"/>
          </w:tcPr>
          <w:p>
            <w:pPr>
              <w:spacing w:before="48" w:beforeLines="20" w:after="48" w:afterLines="20"/>
              <w:jc w:val="left"/>
              <w:rPr>
                <w:rFonts w:eastAsia="仿宋_GB2312"/>
                <w:color w:val="000000"/>
                <w:sz w:val="24"/>
                <w:szCs w:val="24"/>
              </w:rPr>
            </w:pPr>
            <w:r>
              <w:rPr>
                <w:rFonts w:eastAsia="仿宋_GB2312"/>
                <w:color w:val="000000"/>
                <w:sz w:val="24"/>
                <w:szCs w:val="24"/>
              </w:rPr>
              <w:t>培养教育考察</w:t>
            </w:r>
          </w:p>
        </w:tc>
        <w:tc>
          <w:tcPr>
            <w:tcW w:w="1113" w:type="dxa"/>
            <w:vMerge w:val="continue"/>
            <w:noWrap/>
            <w:vAlign w:val="center"/>
          </w:tcPr>
          <w:p>
            <w:pPr>
              <w:spacing w:before="48" w:beforeLines="20" w:after="48" w:afterLines="20"/>
              <w:jc w:val="center"/>
              <w:rPr>
                <w:rFonts w:eastAsia="仿宋_GB2312"/>
                <w:color w:val="000000"/>
                <w:sz w:val="24"/>
                <w:szCs w:val="24"/>
              </w:rPr>
            </w:pPr>
          </w:p>
        </w:tc>
        <w:tc>
          <w:tcPr>
            <w:tcW w:w="4116" w:type="dxa"/>
            <w:vMerge w:val="continue"/>
            <w:noWrap w:val="0"/>
            <w:vAlign w:val="center"/>
          </w:tcPr>
          <w:p>
            <w:pPr>
              <w:spacing w:before="48" w:beforeLines="20" w:after="48" w:afterLines="20"/>
              <w:jc w:val="left"/>
              <w:rPr>
                <w:rFonts w:eastAsia="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415" w:type="dxa"/>
            <w:vMerge w:val="restart"/>
            <w:noWrap w:val="0"/>
            <w:vAlign w:val="center"/>
          </w:tcPr>
          <w:p>
            <w:pPr>
              <w:widowControl/>
              <w:snapToGrid w:val="0"/>
              <w:spacing w:line="264" w:lineRule="auto"/>
              <w:jc w:val="center"/>
              <w:rPr>
                <w:rFonts w:eastAsia="仿宋_GB2312"/>
                <w:b/>
                <w:bCs/>
                <w:color w:val="000000"/>
                <w:sz w:val="28"/>
                <w:szCs w:val="28"/>
              </w:rPr>
            </w:pPr>
            <w:r>
              <w:rPr>
                <w:rFonts w:eastAsia="仿宋_GB2312"/>
                <w:b/>
                <w:bCs/>
                <w:color w:val="000000"/>
                <w:sz w:val="28"/>
                <w:szCs w:val="28"/>
              </w:rPr>
              <w:t>理想信念教育</w:t>
            </w:r>
          </w:p>
        </w:tc>
        <w:tc>
          <w:tcPr>
            <w:tcW w:w="3444" w:type="dxa"/>
            <w:noWrap w:val="0"/>
            <w:vAlign w:val="center"/>
          </w:tcPr>
          <w:p>
            <w:pPr>
              <w:spacing w:before="48" w:beforeLines="20" w:after="48" w:afterLines="20"/>
              <w:jc w:val="left"/>
              <w:rPr>
                <w:rFonts w:eastAsia="仿宋_GB2312"/>
                <w:color w:val="000000"/>
                <w:sz w:val="24"/>
                <w:szCs w:val="24"/>
              </w:rPr>
            </w:pPr>
            <w:r>
              <w:rPr>
                <w:rFonts w:eastAsia="仿宋_GB2312"/>
                <w:color w:val="000000"/>
                <w:sz w:val="24"/>
                <w:szCs w:val="24"/>
              </w:rPr>
              <w:t>习近平新时代中国特色社会主义思想的世界观和方法论</w:t>
            </w:r>
          </w:p>
        </w:tc>
        <w:tc>
          <w:tcPr>
            <w:tcW w:w="1113" w:type="dxa"/>
            <w:noWrap/>
            <w:vAlign w:val="center"/>
          </w:tcPr>
          <w:p>
            <w:pPr>
              <w:spacing w:before="48" w:beforeLines="20" w:after="48" w:afterLines="20"/>
              <w:jc w:val="center"/>
              <w:rPr>
                <w:rFonts w:eastAsia="仿宋_GB2312"/>
                <w:color w:val="000000"/>
                <w:sz w:val="24"/>
                <w:szCs w:val="24"/>
              </w:rPr>
            </w:pPr>
            <w:r>
              <w:rPr>
                <w:rFonts w:eastAsia="仿宋_GB2312"/>
                <w:color w:val="000000"/>
                <w:sz w:val="24"/>
                <w:szCs w:val="24"/>
              </w:rPr>
              <w:t>辛向阳</w:t>
            </w:r>
          </w:p>
        </w:tc>
        <w:tc>
          <w:tcPr>
            <w:tcW w:w="4116" w:type="dxa"/>
            <w:noWrap w:val="0"/>
            <w:vAlign w:val="center"/>
          </w:tcPr>
          <w:p>
            <w:pPr>
              <w:spacing w:before="48" w:beforeLines="20" w:after="48" w:afterLines="20"/>
              <w:jc w:val="left"/>
              <w:rPr>
                <w:rFonts w:eastAsia="仿宋_GB2312"/>
                <w:color w:val="000000"/>
                <w:sz w:val="24"/>
                <w:szCs w:val="24"/>
              </w:rPr>
            </w:pPr>
            <w:r>
              <w:rPr>
                <w:rFonts w:eastAsia="仿宋_GB2312"/>
                <w:color w:val="000000"/>
                <w:sz w:val="24"/>
                <w:szCs w:val="24"/>
              </w:rPr>
              <w:t>中国社会科学院马克思主义研究院党委书记、副院长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415" w:type="dxa"/>
            <w:vMerge w:val="continue"/>
            <w:noWrap w:val="0"/>
            <w:vAlign w:val="center"/>
          </w:tcPr>
          <w:p>
            <w:pPr>
              <w:widowControl/>
              <w:snapToGrid w:val="0"/>
              <w:spacing w:line="264" w:lineRule="auto"/>
              <w:jc w:val="center"/>
              <w:rPr>
                <w:rFonts w:eastAsia="仿宋_GB2312"/>
                <w:b/>
                <w:bCs/>
                <w:color w:val="000000"/>
                <w:sz w:val="28"/>
                <w:szCs w:val="28"/>
              </w:rPr>
            </w:pPr>
          </w:p>
        </w:tc>
        <w:tc>
          <w:tcPr>
            <w:tcW w:w="3444" w:type="dxa"/>
            <w:noWrap w:val="0"/>
            <w:vAlign w:val="center"/>
          </w:tcPr>
          <w:p>
            <w:pPr>
              <w:spacing w:before="48" w:beforeLines="20" w:after="48" w:afterLines="20"/>
              <w:jc w:val="left"/>
              <w:rPr>
                <w:rFonts w:eastAsia="仿宋_GB2312"/>
                <w:color w:val="000000"/>
                <w:sz w:val="24"/>
                <w:szCs w:val="24"/>
              </w:rPr>
            </w:pPr>
            <w:r>
              <w:rPr>
                <w:rFonts w:eastAsia="仿宋_GB2312"/>
                <w:color w:val="000000"/>
                <w:sz w:val="24"/>
                <w:szCs w:val="24"/>
              </w:rPr>
              <w:t xml:space="preserve"> 在中华民族伟大复兴征程中唱响青春之我 </w:t>
            </w:r>
          </w:p>
        </w:tc>
        <w:tc>
          <w:tcPr>
            <w:tcW w:w="1113" w:type="dxa"/>
            <w:noWrap/>
            <w:vAlign w:val="center"/>
          </w:tcPr>
          <w:p>
            <w:pPr>
              <w:spacing w:before="48" w:beforeLines="20" w:after="48" w:afterLines="20"/>
              <w:jc w:val="center"/>
              <w:rPr>
                <w:rFonts w:eastAsia="仿宋_GB2312"/>
                <w:color w:val="000000"/>
                <w:sz w:val="24"/>
                <w:szCs w:val="24"/>
              </w:rPr>
            </w:pPr>
            <w:r>
              <w:rPr>
                <w:rFonts w:eastAsia="仿宋_GB2312"/>
                <w:color w:val="000000"/>
                <w:sz w:val="24"/>
                <w:szCs w:val="24"/>
              </w:rPr>
              <w:t>吴  庆</w:t>
            </w:r>
          </w:p>
        </w:tc>
        <w:tc>
          <w:tcPr>
            <w:tcW w:w="4116" w:type="dxa"/>
            <w:noWrap w:val="0"/>
            <w:vAlign w:val="center"/>
          </w:tcPr>
          <w:p>
            <w:pPr>
              <w:spacing w:before="48" w:beforeLines="20" w:after="48" w:afterLines="20"/>
              <w:jc w:val="left"/>
              <w:rPr>
                <w:rFonts w:eastAsia="仿宋_GB2312"/>
                <w:color w:val="000000"/>
                <w:sz w:val="24"/>
                <w:szCs w:val="24"/>
              </w:rPr>
            </w:pPr>
            <w:r>
              <w:rPr>
                <w:rFonts w:eastAsia="仿宋_GB2312"/>
                <w:color w:val="000000"/>
                <w:sz w:val="24"/>
                <w:szCs w:val="24"/>
              </w:rPr>
              <w:t>中央团校（中国青年政治学院）教授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415" w:type="dxa"/>
            <w:vMerge w:val="continue"/>
            <w:noWrap w:val="0"/>
            <w:vAlign w:val="center"/>
          </w:tcPr>
          <w:p>
            <w:pPr>
              <w:widowControl/>
              <w:snapToGrid w:val="0"/>
              <w:spacing w:line="264" w:lineRule="auto"/>
              <w:jc w:val="center"/>
              <w:rPr>
                <w:rFonts w:eastAsia="仿宋_GB2312"/>
                <w:b/>
                <w:bCs/>
                <w:color w:val="000000"/>
                <w:sz w:val="28"/>
                <w:szCs w:val="28"/>
              </w:rPr>
            </w:pPr>
          </w:p>
        </w:tc>
        <w:tc>
          <w:tcPr>
            <w:tcW w:w="3444" w:type="dxa"/>
            <w:noWrap w:val="0"/>
            <w:vAlign w:val="center"/>
          </w:tcPr>
          <w:p>
            <w:pPr>
              <w:spacing w:before="48" w:beforeLines="20" w:after="48" w:afterLines="20"/>
              <w:jc w:val="left"/>
              <w:rPr>
                <w:rFonts w:eastAsia="仿宋_GB2312"/>
                <w:color w:val="000000"/>
                <w:sz w:val="24"/>
                <w:szCs w:val="24"/>
              </w:rPr>
            </w:pPr>
            <w:r>
              <w:rPr>
                <w:rFonts w:eastAsia="仿宋_GB2312"/>
                <w:color w:val="000000"/>
                <w:sz w:val="24"/>
                <w:szCs w:val="24"/>
              </w:rPr>
              <w:t>理想的力量</w:t>
            </w:r>
          </w:p>
        </w:tc>
        <w:tc>
          <w:tcPr>
            <w:tcW w:w="1113" w:type="dxa"/>
            <w:noWrap/>
            <w:vAlign w:val="center"/>
          </w:tcPr>
          <w:p>
            <w:pPr>
              <w:spacing w:before="48" w:beforeLines="20" w:after="48" w:afterLines="20"/>
              <w:jc w:val="center"/>
              <w:rPr>
                <w:rFonts w:eastAsia="仿宋_GB2312"/>
                <w:color w:val="000000"/>
                <w:sz w:val="24"/>
                <w:szCs w:val="24"/>
              </w:rPr>
            </w:pPr>
            <w:r>
              <w:rPr>
                <w:rFonts w:eastAsia="仿宋_GB2312"/>
                <w:color w:val="000000"/>
                <w:sz w:val="24"/>
                <w:szCs w:val="24"/>
              </w:rPr>
              <w:t>刘  宸</w:t>
            </w:r>
          </w:p>
        </w:tc>
        <w:tc>
          <w:tcPr>
            <w:tcW w:w="4116" w:type="dxa"/>
            <w:noWrap w:val="0"/>
            <w:vAlign w:val="center"/>
          </w:tcPr>
          <w:p>
            <w:pPr>
              <w:spacing w:before="48" w:beforeLines="20" w:after="48" w:afterLines="20"/>
              <w:jc w:val="left"/>
              <w:rPr>
                <w:rFonts w:eastAsia="仿宋_GB2312"/>
                <w:color w:val="000000"/>
                <w:sz w:val="24"/>
                <w:szCs w:val="24"/>
              </w:rPr>
            </w:pPr>
            <w:r>
              <w:rPr>
                <w:rFonts w:eastAsia="仿宋_GB2312"/>
                <w:color w:val="000000"/>
                <w:sz w:val="24"/>
                <w:szCs w:val="24"/>
              </w:rPr>
              <w:t>2021年最美大学生，西南石油大学经济管理学院本科生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415" w:type="dxa"/>
            <w:vMerge w:val="continue"/>
            <w:noWrap w:val="0"/>
            <w:vAlign w:val="center"/>
          </w:tcPr>
          <w:p>
            <w:pPr>
              <w:widowControl/>
              <w:snapToGrid w:val="0"/>
              <w:spacing w:line="264" w:lineRule="auto"/>
              <w:jc w:val="center"/>
              <w:rPr>
                <w:rFonts w:eastAsia="仿宋_GB2312"/>
                <w:b/>
                <w:bCs/>
                <w:color w:val="000000"/>
                <w:sz w:val="28"/>
                <w:szCs w:val="28"/>
              </w:rPr>
            </w:pPr>
          </w:p>
        </w:tc>
        <w:tc>
          <w:tcPr>
            <w:tcW w:w="3444" w:type="dxa"/>
            <w:noWrap w:val="0"/>
            <w:vAlign w:val="center"/>
          </w:tcPr>
          <w:p>
            <w:pPr>
              <w:spacing w:before="48" w:beforeLines="20" w:after="48" w:afterLines="20"/>
              <w:jc w:val="left"/>
              <w:rPr>
                <w:rFonts w:eastAsia="仿宋_GB2312"/>
                <w:color w:val="000000"/>
                <w:sz w:val="24"/>
                <w:szCs w:val="24"/>
              </w:rPr>
            </w:pPr>
            <w:r>
              <w:rPr>
                <w:rFonts w:eastAsia="仿宋_GB2312"/>
                <w:color w:val="000000"/>
                <w:sz w:val="24"/>
                <w:szCs w:val="24"/>
              </w:rPr>
              <w:t>大学，让理想伴青春远航</w:t>
            </w:r>
          </w:p>
        </w:tc>
        <w:tc>
          <w:tcPr>
            <w:tcW w:w="1113" w:type="dxa"/>
            <w:noWrap/>
            <w:vAlign w:val="center"/>
          </w:tcPr>
          <w:p>
            <w:pPr>
              <w:spacing w:before="48" w:beforeLines="20" w:after="48" w:afterLines="20"/>
              <w:jc w:val="center"/>
              <w:rPr>
                <w:rFonts w:eastAsia="仿宋_GB2312"/>
                <w:color w:val="000000"/>
                <w:sz w:val="24"/>
                <w:szCs w:val="24"/>
              </w:rPr>
            </w:pPr>
            <w:r>
              <w:rPr>
                <w:rFonts w:eastAsia="仿宋_GB2312"/>
                <w:color w:val="000000"/>
                <w:sz w:val="24"/>
                <w:szCs w:val="24"/>
              </w:rPr>
              <w:t>周锦宇</w:t>
            </w:r>
          </w:p>
        </w:tc>
        <w:tc>
          <w:tcPr>
            <w:tcW w:w="4116" w:type="dxa"/>
            <w:noWrap w:val="0"/>
            <w:vAlign w:val="center"/>
          </w:tcPr>
          <w:p>
            <w:pPr>
              <w:spacing w:before="48" w:beforeLines="20" w:after="48" w:afterLines="20"/>
              <w:jc w:val="left"/>
              <w:rPr>
                <w:rFonts w:eastAsia="仿宋_GB2312"/>
                <w:color w:val="000000"/>
                <w:sz w:val="24"/>
                <w:szCs w:val="24"/>
              </w:rPr>
            </w:pPr>
            <w:r>
              <w:rPr>
                <w:rFonts w:eastAsia="仿宋_GB2312"/>
                <w:color w:val="000000"/>
                <w:sz w:val="24"/>
                <w:szCs w:val="24"/>
              </w:rPr>
              <w:t>2021年最美大学生，兰州大学材料与能源学院研究生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415" w:type="dxa"/>
            <w:vMerge w:val="restart"/>
            <w:noWrap w:val="0"/>
            <w:vAlign w:val="center"/>
          </w:tcPr>
          <w:p>
            <w:pPr>
              <w:widowControl/>
              <w:snapToGrid w:val="0"/>
              <w:spacing w:line="264" w:lineRule="auto"/>
              <w:jc w:val="center"/>
              <w:rPr>
                <w:rFonts w:eastAsia="仿宋_GB2312"/>
                <w:b/>
                <w:bCs/>
                <w:color w:val="000000"/>
                <w:sz w:val="28"/>
                <w:szCs w:val="28"/>
              </w:rPr>
            </w:pPr>
            <w:r>
              <w:rPr>
                <w:rFonts w:eastAsia="仿宋_GB2312"/>
                <w:b/>
                <w:bCs/>
                <w:color w:val="000000"/>
                <w:sz w:val="28"/>
                <w:szCs w:val="28"/>
              </w:rPr>
              <w:t>榜样示范</w:t>
            </w:r>
          </w:p>
        </w:tc>
        <w:tc>
          <w:tcPr>
            <w:tcW w:w="3444" w:type="dxa"/>
            <w:noWrap w:val="0"/>
            <w:vAlign w:val="center"/>
          </w:tcPr>
          <w:p>
            <w:pPr>
              <w:spacing w:before="48" w:beforeLines="20" w:after="48" w:afterLines="20"/>
              <w:jc w:val="left"/>
              <w:rPr>
                <w:rFonts w:eastAsia="仿宋_GB2312"/>
                <w:color w:val="000000"/>
                <w:sz w:val="24"/>
                <w:szCs w:val="24"/>
              </w:rPr>
            </w:pPr>
            <w:r>
              <w:rPr>
                <w:rFonts w:eastAsia="仿宋_GB2312"/>
                <w:color w:val="000000"/>
                <w:sz w:val="24"/>
                <w:szCs w:val="24"/>
              </w:rPr>
              <w:t>不负韶华勇担当 青春党员在路上</w:t>
            </w:r>
          </w:p>
        </w:tc>
        <w:tc>
          <w:tcPr>
            <w:tcW w:w="1113" w:type="dxa"/>
            <w:noWrap/>
            <w:vAlign w:val="center"/>
          </w:tcPr>
          <w:p>
            <w:pPr>
              <w:spacing w:before="48" w:beforeLines="20" w:after="48" w:afterLines="20"/>
              <w:jc w:val="center"/>
              <w:rPr>
                <w:rFonts w:eastAsia="仿宋_GB2312"/>
                <w:color w:val="000000"/>
                <w:sz w:val="24"/>
                <w:szCs w:val="24"/>
              </w:rPr>
            </w:pPr>
            <w:r>
              <w:rPr>
                <w:rFonts w:eastAsia="仿宋_GB2312"/>
                <w:color w:val="000000"/>
                <w:sz w:val="24"/>
                <w:szCs w:val="24"/>
              </w:rPr>
              <w:t>苏正民</w:t>
            </w:r>
          </w:p>
        </w:tc>
        <w:tc>
          <w:tcPr>
            <w:tcW w:w="4116" w:type="dxa"/>
            <w:noWrap w:val="0"/>
            <w:vAlign w:val="center"/>
          </w:tcPr>
          <w:p>
            <w:pPr>
              <w:spacing w:before="48" w:beforeLines="20" w:after="48" w:afterLines="20"/>
              <w:jc w:val="left"/>
              <w:rPr>
                <w:rFonts w:eastAsia="仿宋_GB2312"/>
                <w:color w:val="000000"/>
                <w:sz w:val="24"/>
                <w:szCs w:val="24"/>
              </w:rPr>
            </w:pPr>
            <w:r>
              <w:rPr>
                <w:rFonts w:eastAsia="仿宋_GB2312"/>
                <w:color w:val="000000"/>
                <w:sz w:val="24"/>
                <w:szCs w:val="24"/>
              </w:rPr>
              <w:t>第十六届中国“大学生年度人物”，中南财经大学硕士研究生党员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415" w:type="dxa"/>
            <w:vMerge w:val="continue"/>
            <w:noWrap w:val="0"/>
            <w:vAlign w:val="center"/>
          </w:tcPr>
          <w:p>
            <w:pPr>
              <w:widowControl/>
              <w:snapToGrid w:val="0"/>
              <w:spacing w:line="264" w:lineRule="auto"/>
              <w:jc w:val="center"/>
              <w:rPr>
                <w:rFonts w:eastAsia="仿宋_GB2312"/>
                <w:b/>
                <w:bCs/>
                <w:color w:val="000000"/>
                <w:sz w:val="28"/>
                <w:szCs w:val="28"/>
              </w:rPr>
            </w:pPr>
          </w:p>
        </w:tc>
        <w:tc>
          <w:tcPr>
            <w:tcW w:w="3444" w:type="dxa"/>
            <w:noWrap w:val="0"/>
            <w:vAlign w:val="center"/>
          </w:tcPr>
          <w:p>
            <w:pPr>
              <w:spacing w:before="48" w:beforeLines="20" w:after="48" w:afterLines="20"/>
              <w:jc w:val="left"/>
              <w:rPr>
                <w:rFonts w:eastAsia="仿宋_GB2312"/>
                <w:color w:val="000000"/>
                <w:sz w:val="24"/>
                <w:szCs w:val="24"/>
              </w:rPr>
            </w:pPr>
            <w:r>
              <w:rPr>
                <w:rFonts w:eastAsia="仿宋_GB2312"/>
                <w:color w:val="000000"/>
                <w:sz w:val="24"/>
                <w:szCs w:val="24"/>
              </w:rPr>
              <w:t>从“追光者”到“点灯人”——做又红又专，功能兼备的新工科人</w:t>
            </w:r>
          </w:p>
        </w:tc>
        <w:tc>
          <w:tcPr>
            <w:tcW w:w="1113" w:type="dxa"/>
            <w:noWrap/>
            <w:vAlign w:val="center"/>
          </w:tcPr>
          <w:p>
            <w:pPr>
              <w:spacing w:before="48" w:beforeLines="20" w:after="48" w:afterLines="20"/>
              <w:jc w:val="center"/>
              <w:rPr>
                <w:rFonts w:eastAsia="仿宋_GB2312"/>
                <w:color w:val="000000"/>
                <w:sz w:val="24"/>
                <w:szCs w:val="24"/>
              </w:rPr>
            </w:pPr>
            <w:r>
              <w:rPr>
                <w:rFonts w:eastAsia="仿宋_GB2312"/>
                <w:color w:val="000000"/>
                <w:sz w:val="24"/>
                <w:szCs w:val="24"/>
              </w:rPr>
              <w:t>李佩慧</w:t>
            </w:r>
          </w:p>
        </w:tc>
        <w:tc>
          <w:tcPr>
            <w:tcW w:w="4116" w:type="dxa"/>
            <w:noWrap w:val="0"/>
            <w:vAlign w:val="center"/>
          </w:tcPr>
          <w:p>
            <w:pPr>
              <w:spacing w:before="48" w:beforeLines="20" w:after="48" w:afterLines="20"/>
              <w:jc w:val="left"/>
              <w:rPr>
                <w:rFonts w:eastAsia="仿宋_GB2312"/>
                <w:color w:val="000000"/>
                <w:sz w:val="24"/>
                <w:szCs w:val="24"/>
              </w:rPr>
            </w:pPr>
            <w:r>
              <w:rPr>
                <w:rFonts w:eastAsia="仿宋_GB2312"/>
                <w:color w:val="000000"/>
                <w:sz w:val="24"/>
                <w:szCs w:val="24"/>
              </w:rPr>
              <w:t>全国高校“百名研究生党员标兵”，南开大学博士研究生党员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8" w:hRule="atLeast"/>
          <w:jc w:val="center"/>
        </w:trPr>
        <w:tc>
          <w:tcPr>
            <w:tcW w:w="1415" w:type="dxa"/>
            <w:vMerge w:val="continue"/>
            <w:noWrap w:val="0"/>
            <w:vAlign w:val="center"/>
          </w:tcPr>
          <w:p>
            <w:pPr>
              <w:widowControl/>
              <w:snapToGrid w:val="0"/>
              <w:spacing w:line="264" w:lineRule="auto"/>
              <w:jc w:val="center"/>
              <w:rPr>
                <w:rFonts w:eastAsia="仿宋_GB2312"/>
                <w:b/>
                <w:bCs/>
                <w:color w:val="000000"/>
                <w:sz w:val="28"/>
                <w:szCs w:val="28"/>
              </w:rPr>
            </w:pPr>
          </w:p>
        </w:tc>
        <w:tc>
          <w:tcPr>
            <w:tcW w:w="3444" w:type="dxa"/>
            <w:noWrap w:val="0"/>
            <w:vAlign w:val="center"/>
          </w:tcPr>
          <w:p>
            <w:pPr>
              <w:spacing w:before="48" w:beforeLines="20" w:after="48" w:afterLines="20"/>
              <w:jc w:val="left"/>
              <w:rPr>
                <w:rFonts w:eastAsia="仿宋_GB2312"/>
                <w:color w:val="000000"/>
                <w:sz w:val="24"/>
                <w:szCs w:val="24"/>
              </w:rPr>
            </w:pPr>
            <w:r>
              <w:rPr>
                <w:rFonts w:eastAsia="仿宋_GB2312"/>
                <w:color w:val="000000"/>
                <w:sz w:val="24"/>
                <w:szCs w:val="24"/>
              </w:rPr>
              <w:t>坚定理想信念 勇担时代重任 做新时代有为青年</w:t>
            </w:r>
          </w:p>
        </w:tc>
        <w:tc>
          <w:tcPr>
            <w:tcW w:w="1113" w:type="dxa"/>
            <w:noWrap/>
            <w:vAlign w:val="center"/>
          </w:tcPr>
          <w:p>
            <w:pPr>
              <w:spacing w:before="48" w:beforeLines="20" w:after="48" w:afterLines="20"/>
              <w:jc w:val="center"/>
              <w:rPr>
                <w:rFonts w:eastAsia="仿宋_GB2312"/>
                <w:color w:val="000000"/>
                <w:sz w:val="24"/>
                <w:szCs w:val="24"/>
              </w:rPr>
            </w:pPr>
            <w:r>
              <w:rPr>
                <w:rFonts w:eastAsia="仿宋_GB2312"/>
                <w:color w:val="000000"/>
                <w:sz w:val="24"/>
                <w:szCs w:val="24"/>
              </w:rPr>
              <w:t>沈  昊</w:t>
            </w:r>
          </w:p>
        </w:tc>
        <w:tc>
          <w:tcPr>
            <w:tcW w:w="4116" w:type="dxa"/>
            <w:noWrap w:val="0"/>
            <w:vAlign w:val="center"/>
          </w:tcPr>
          <w:p>
            <w:pPr>
              <w:spacing w:before="48" w:beforeLines="20" w:after="48" w:afterLines="20"/>
              <w:jc w:val="left"/>
              <w:rPr>
                <w:rFonts w:eastAsia="仿宋_GB2312"/>
                <w:color w:val="000000"/>
                <w:sz w:val="24"/>
                <w:szCs w:val="24"/>
              </w:rPr>
            </w:pPr>
            <w:r>
              <w:rPr>
                <w:rFonts w:eastAsia="仿宋_GB2312"/>
                <w:color w:val="000000"/>
                <w:sz w:val="24"/>
                <w:szCs w:val="24"/>
              </w:rPr>
              <w:t>全国高校“百名研究生党员标兵”，延边大学博士研究生党员</w:t>
            </w:r>
          </w:p>
        </w:tc>
      </w:tr>
    </w:tbl>
    <w:p>
      <w:pPr>
        <w:snapToGrid w:val="0"/>
        <w:spacing w:before="120" w:beforeLines="50" w:line="360" w:lineRule="auto"/>
        <w:ind w:right="840" w:rightChars="400"/>
        <w:rPr>
          <w:rFonts w:eastAsia="仿宋_GB2312"/>
          <w:sz w:val="24"/>
          <w:szCs w:val="24"/>
        </w:rPr>
      </w:pPr>
      <w:r>
        <w:rPr>
          <w:rFonts w:eastAsia="仿宋_GB2312"/>
          <w:sz w:val="24"/>
          <w:szCs w:val="24"/>
        </w:rPr>
        <w:t>说明：1.个别课程或稍有调整，请以平台最终发布课程为准；</w:t>
      </w:r>
    </w:p>
    <w:p>
      <w:r>
        <w:rPr>
          <w:rFonts w:eastAsia="仿宋_GB2312"/>
          <w:sz w:val="24"/>
          <w:szCs w:val="24"/>
        </w:rPr>
        <w:t>2.课程主讲人职务为课程录制时的职务。</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B0604020202020204"/>
    <w:charset w:val="86"/>
    <w:family w:val="modern"/>
    <w:pitch w:val="default"/>
    <w:sig w:usb0="00000000" w:usb1="00000000" w:usb2="00000010" w:usb3="00000000" w:csb0="00040001"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20B0604020202020204"/>
    <w:charset w:val="86"/>
    <w:family w:val="auto"/>
    <w:pitch w:val="default"/>
    <w:sig w:usb0="00000000" w:usb1="00000000" w:usb2="00000012"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ViZjAzZWE1ZWRkMTE1YWEzZjc4Y2Y0YzQwOGQ0NDkifQ=="/>
  </w:docVars>
  <w:rsids>
    <w:rsidRoot w:val="00000000"/>
    <w:rsid w:val="4F2E25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2">
    <w:name w:val="heading 1"/>
    <w:basedOn w:val="1"/>
    <w:next w:val="1"/>
    <w:qFormat/>
    <w:uiPriority w:val="9"/>
    <w:pPr>
      <w:keepNext/>
      <w:keepLines/>
      <w:spacing w:before="340" w:after="330" w:line="578" w:lineRule="auto"/>
      <w:outlineLvl w:val="0"/>
    </w:pPr>
    <w:rPr>
      <w:b/>
      <w:bCs/>
      <w:kern w:val="44"/>
      <w:sz w:val="32"/>
      <w:szCs w:val="44"/>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Date"/>
    <w:basedOn w:val="1"/>
    <w:next w:val="1"/>
    <w:qFormat/>
    <w:uiPriority w:val="0"/>
    <w:rPr>
      <w:rFonts w:ascii="Times New Roman" w:hAnsi="Times New Roman" w:eastAsia="仿宋_GB2312" w:cs="Times New Roman"/>
      <w:sz w:val="24"/>
      <w:szCs w:val="20"/>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2023-04-21T02:48:25Z</dcterms:created>
  <dc:creator>Administrator</dc:creator>
  <cp:lastModifiedBy>一叶编舟</cp:lastModifiedBy>
  <dcterms:modified xsi:type="dcterms:W3CDTF">2023-04-21T02:48:40Z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E9F6D107E8C743D981E906A4BFB1E100</vt:lpwstr>
  </property>
</Properties>
</file>