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0" w:after="0" w:line="240" w:lineRule="auto"/>
      </w:pPr>
      <w:r>
        <w:rPr>
          <w:rFonts w:hint="eastAsia" w:eastAsia="黑体"/>
          <w:szCs w:val="32"/>
        </w:rPr>
        <w:t>附件</w:t>
      </w:r>
    </w:p>
    <w:p>
      <w:pPr>
        <w:snapToGrid w:val="0"/>
        <w:ind w:firstLine="600" w:firstLineChars="200"/>
        <w:jc w:val="center"/>
        <w:rPr>
          <w:rFonts w:ascii="方正小标宋简体" w:hAnsi="方正小标宋简体" w:eastAsia="方正小标宋简体" w:cs="方正小标宋简体"/>
          <w:bCs/>
          <w:color w:val="000000"/>
          <w:sz w:val="30"/>
          <w:szCs w:val="30"/>
        </w:rPr>
      </w:pPr>
      <w:r>
        <w:rPr>
          <w:rFonts w:hint="eastAsia" w:ascii="方正小标宋简体" w:hAnsi="方正小标宋简体" w:eastAsia="方正小标宋简体" w:cs="方正小标宋简体"/>
          <w:bCs/>
          <w:color w:val="000000"/>
          <w:sz w:val="30"/>
          <w:szCs w:val="30"/>
        </w:rPr>
        <w:t>机关党支部书记专题网络培训课程列表</w:t>
      </w:r>
    </w:p>
    <w:tbl>
      <w:tblPr>
        <w:tblStyle w:val="3"/>
        <w:tblpPr w:leftFromText="180" w:rightFromText="180" w:vertAnchor="text" w:tblpXSpec="center" w:tblpY="1"/>
        <w:tblOverlap w:val="never"/>
        <w:tblW w:w="50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9"/>
        <w:gridCol w:w="1016"/>
        <w:gridCol w:w="3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2480" w:type="pct"/>
            <w:noWrap/>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课程名称</w:t>
            </w:r>
          </w:p>
        </w:tc>
        <w:tc>
          <w:tcPr>
            <w:tcW w:w="586" w:type="pct"/>
            <w:noWrap/>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主讲人</w:t>
            </w:r>
          </w:p>
        </w:tc>
        <w:tc>
          <w:tcPr>
            <w:tcW w:w="1933" w:type="pct"/>
            <w:noWrap/>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单位与职务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3"/>
            <w:shd w:val="clear" w:color="auto" w:fill="FBE5D6"/>
            <w:noWrap w:val="0"/>
            <w:vAlign w:val="center"/>
          </w:tcPr>
          <w:p>
            <w:pPr>
              <w:widowControl/>
              <w:jc w:val="center"/>
              <w:textAlignment w:val="center"/>
              <w:rPr>
                <w:rFonts w:hint="eastAsia"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Cs w:val="21"/>
                <w:lang w:bidi="ar"/>
              </w:rPr>
              <w:t>习近平新时代中国特色社会主义思想和党的二十大精神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习近平新时代中国特色社会主义思想的世界观和方法论</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辛向阳</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中国社会科学院马克思主义研究院党委书记、副院长，教授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认真学习党的二十大精神，开辟马克思主义中国化时代化新境界</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刘  春</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深入学习贯彻党的二十大精神 深刻把握 “两个确立”坚决做到“两个维护”</w:t>
            </w:r>
          </w:p>
        </w:tc>
        <w:tc>
          <w:tcPr>
            <w:tcW w:w="58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顾海良</w:t>
            </w:r>
          </w:p>
        </w:tc>
        <w:tc>
          <w:tcPr>
            <w:tcW w:w="1933"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北京大学马克思主义学院教授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新时代机关党建的理论指导和行动指南——学习习近平总书记关于机关党建重要论述</w:t>
            </w:r>
          </w:p>
        </w:tc>
        <w:tc>
          <w:tcPr>
            <w:tcW w:w="58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刘宏毅</w:t>
            </w:r>
          </w:p>
        </w:tc>
        <w:tc>
          <w:tcPr>
            <w:tcW w:w="1933"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中央党校(国家行政学院)国际和港澳培训中心主任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实施教育数字化战略行动 促进教育高质量发展</w:t>
            </w:r>
          </w:p>
        </w:tc>
        <w:tc>
          <w:tcPr>
            <w:tcW w:w="58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杨宗凯</w:t>
            </w:r>
          </w:p>
        </w:tc>
        <w:tc>
          <w:tcPr>
            <w:tcW w:w="1933"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武汉理工大学校长，教授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3"/>
            <w:shd w:val="clear" w:color="auto" w:fill="FBE5D6"/>
            <w:noWrap w:val="0"/>
            <w:vAlign w:val="center"/>
          </w:tcPr>
          <w:p>
            <w:pPr>
              <w:widowControl/>
              <w:adjustRightInd w:val="0"/>
              <w:snapToGrid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b/>
                <w:bCs/>
                <w:szCs w:val="21"/>
              </w:rPr>
              <w:t>党章党规党纪和党风廉政建设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认真学习和领会党的二十大通过的《中国共产党章程（修正案）》</w:t>
            </w:r>
          </w:p>
        </w:tc>
        <w:tc>
          <w:tcPr>
            <w:tcW w:w="586" w:type="pct"/>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陈凯龙</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认真学习贯彻《中国共产党普通高等学校基层组织工作条例》 不断提高高校党的建设质量和水平</w:t>
            </w:r>
          </w:p>
        </w:tc>
        <w:tc>
          <w:tcPr>
            <w:tcW w:w="586" w:type="pct"/>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柳李华</w:t>
            </w:r>
          </w:p>
        </w:tc>
        <w:tc>
          <w:tcPr>
            <w:tcW w:w="1933" w:type="pct"/>
            <w:noWrap w:val="0"/>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中组部组织二局五处副处长、二级调研员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切实加强机关党的基层组织建设——《中国共产党党和国家机关基层组织工作条例》解读</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曹鹏飞</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中共中央党校（国家行政学院）党的建设教研部教授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《中国共产党纪律处分条例》（修订）解读</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刘  春</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中国共产党的组织和纪律</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姚  桓</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中共北京市委党校原校委委员，北京党建智库首席专家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持续推进全面从严治党在医院落地生根</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贺  政</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中国医科大学附属第一医院放射治疗科党支部书记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高校腐败重点领域的廉政风险防控</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周  磊</w:t>
            </w:r>
          </w:p>
        </w:tc>
        <w:tc>
          <w:tcPr>
            <w:tcW w:w="193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清华大学廉政与治理研究中心客座研究员、北京工商大学教师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高校违规违纪面面观</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刘培元</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北京外国语大学党委常委、党委统战部部长、党委巡察办公室主任（兼）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FBE5D6"/>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b/>
                <w:bCs/>
                <w:color w:val="000000"/>
                <w:kern w:val="0"/>
                <w:szCs w:val="21"/>
                <w:lang w:bidi="ar"/>
              </w:rPr>
              <w:t>党建质量提升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“全国党建工作示范高校”培育创建的实践探索与謭论思考——以基层党支部建设为视角</w:t>
            </w:r>
          </w:p>
        </w:tc>
        <w:tc>
          <w:tcPr>
            <w:tcW w:w="58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姜玉原</w:t>
            </w:r>
          </w:p>
        </w:tc>
        <w:tc>
          <w:tcPr>
            <w:tcW w:w="1933" w:type="pct"/>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b/>
                <w:bCs/>
                <w:color w:val="000000"/>
                <w:kern w:val="0"/>
                <w:szCs w:val="21"/>
                <w:lang w:bidi="ar"/>
              </w:rPr>
              <w:t>全国党建工作示范高校，</w:t>
            </w:r>
            <w:r>
              <w:rPr>
                <w:rFonts w:hint="eastAsia" w:ascii="仿宋_GB2312" w:hAnsi="仿宋_GB2312" w:eastAsia="仿宋_GB2312" w:cs="仿宋_GB2312"/>
                <w:color w:val="000000"/>
                <w:kern w:val="0"/>
                <w:szCs w:val="21"/>
                <w:lang w:bidi="ar"/>
              </w:rPr>
              <w:t>东北大学党委组织部副部长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数字化改革助力高校党建质量提升</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王斌锐</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中国计量大学校党委委员，党委组织部（人才办）部长（主任）、统战部部长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样板支部培育创建经验分享——以北京大学第一医院泌尿外科党支部为例</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张  凯</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b/>
                <w:bCs/>
                <w:color w:val="000000"/>
                <w:kern w:val="0"/>
                <w:szCs w:val="21"/>
                <w:lang w:bidi="ar"/>
              </w:rPr>
              <w:t>全国党建工作样板支部，</w:t>
            </w:r>
            <w:r>
              <w:rPr>
                <w:rFonts w:hint="eastAsia" w:ascii="仿宋_GB2312" w:hAnsi="仿宋_GB2312" w:eastAsia="仿宋_GB2312" w:cs="仿宋_GB2312"/>
                <w:color w:val="000000"/>
                <w:kern w:val="0"/>
                <w:szCs w:val="21"/>
                <w:lang w:bidi="ar"/>
              </w:rPr>
              <w:t>北京大学第一医院泌尿外科党支部书记、副主任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聚焦“七个有力”，打造模范院级机关党支部</w:t>
            </w:r>
          </w:p>
        </w:tc>
        <w:tc>
          <w:tcPr>
            <w:tcW w:w="586"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李鸿涛</w:t>
            </w:r>
          </w:p>
        </w:tc>
        <w:tc>
          <w:tcPr>
            <w:tcW w:w="1933"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kern w:val="0"/>
                <w:szCs w:val="21"/>
                <w:lang w:bidi="ar"/>
              </w:rPr>
              <w:t>全国党建工作样板支部，</w:t>
            </w:r>
            <w:r>
              <w:rPr>
                <w:rFonts w:hint="eastAsia" w:ascii="仿宋_GB2312" w:hAnsi="仿宋_GB2312" w:eastAsia="仿宋_GB2312" w:cs="仿宋_GB2312"/>
                <w:color w:val="000000"/>
                <w:kern w:val="0"/>
                <w:szCs w:val="21"/>
                <w:lang w:bidi="ar"/>
              </w:rPr>
              <w:t>南京理工大学理学院党委书记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打造“红信云”智慧党建品牌    助力机关党建工作创新发展 ——以江苏师范大学机关党委第二十二党支部为例</w:t>
            </w:r>
          </w:p>
        </w:tc>
        <w:tc>
          <w:tcPr>
            <w:tcW w:w="586"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宋子强</w:t>
            </w:r>
          </w:p>
        </w:tc>
        <w:tc>
          <w:tcPr>
            <w:tcW w:w="1933"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b/>
                <w:bCs/>
                <w:color w:val="000000"/>
                <w:kern w:val="0"/>
                <w:szCs w:val="21"/>
                <w:lang w:bidi="ar"/>
              </w:rPr>
              <w:t>全国党建工作样板支部，</w:t>
            </w:r>
            <w:r>
              <w:rPr>
                <w:rFonts w:hint="eastAsia" w:ascii="仿宋_GB2312" w:hAnsi="仿宋_GB2312" w:eastAsia="仿宋_GB2312" w:cs="仿宋_GB2312"/>
                <w:color w:val="000000"/>
                <w:kern w:val="0"/>
                <w:szCs w:val="21"/>
                <w:lang w:bidi="ar"/>
              </w:rPr>
              <w:t>江苏师范大学信息化建设与管理处处长、信息网络中心主任，校机关党委第二十二党支部（信息化处支部）书记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应用型高校党建工作“三维度三融合”——全国党建样板支部的建设与实践</w:t>
            </w:r>
          </w:p>
        </w:tc>
        <w:tc>
          <w:tcPr>
            <w:tcW w:w="586"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曾  俊</w:t>
            </w:r>
          </w:p>
        </w:tc>
        <w:tc>
          <w:tcPr>
            <w:tcW w:w="1933"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b/>
                <w:bCs/>
                <w:color w:val="000000"/>
                <w:kern w:val="0"/>
                <w:szCs w:val="21"/>
                <w:lang w:bidi="ar"/>
              </w:rPr>
              <w:t>全国党建工作样板支部，</w:t>
            </w:r>
            <w:r>
              <w:rPr>
                <w:rFonts w:hint="eastAsia" w:ascii="仿宋_GB2312" w:hAnsi="仿宋_GB2312" w:eastAsia="仿宋_GB2312" w:cs="仿宋_GB2312"/>
                <w:color w:val="000000"/>
                <w:kern w:val="0"/>
                <w:szCs w:val="21"/>
                <w:lang w:bidi="ar"/>
              </w:rPr>
              <w:t>长江师范学院大数据与智能工程学院大数据与物联网工程系教师党支部书记，教授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3"/>
            <w:shd w:val="clear" w:color="000000" w:fill="FBE5D6"/>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b/>
                <w:bCs/>
                <w:color w:val="000000"/>
                <w:kern w:val="0"/>
                <w:szCs w:val="21"/>
                <w:lang w:bidi="ar"/>
              </w:rPr>
              <w:t>机关党建工作实务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3"/>
            <w:shd w:val="clear" w:color="000000" w:fill="FFFFFF"/>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b/>
                <w:bCs/>
                <w:color w:val="000000"/>
                <w:kern w:val="0"/>
                <w:szCs w:val="21"/>
                <w:lang w:bidi="ar"/>
              </w:rPr>
              <w:t>“三会一课”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shd w:val="clear" w:color="000000" w:fill="FFFFFF"/>
            <w:noWrap w:val="0"/>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支部党员大会如何开得更有质量、有效果 </w:t>
            </w:r>
          </w:p>
        </w:tc>
        <w:tc>
          <w:tcPr>
            <w:tcW w:w="586" w:type="pct"/>
            <w:shd w:val="clear" w:color="000000" w:fill="FFFFFF"/>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李明伟</w:t>
            </w:r>
          </w:p>
        </w:tc>
        <w:tc>
          <w:tcPr>
            <w:tcW w:w="1933" w:type="pct"/>
            <w:shd w:val="clear" w:color="000000" w:fill="FFFFFF"/>
            <w:noWrap w:val="0"/>
            <w:vAlign w:val="center"/>
          </w:tcPr>
          <w:p>
            <w:pPr>
              <w:widowControl/>
              <w:jc w:val="left"/>
              <w:textAlignment w:val="center"/>
              <w:rPr>
                <w:rFonts w:hint="eastAsia" w:ascii="仿宋_GB2312" w:hAnsi="仿宋_GB2312" w:eastAsia="仿宋_GB2312" w:cs="仿宋_GB2312"/>
                <w:b/>
                <w:bCs/>
                <w:szCs w:val="21"/>
              </w:rPr>
            </w:pPr>
            <w:r>
              <w:rPr>
                <w:rFonts w:hint="eastAsia" w:ascii="仿宋_GB2312" w:hAnsi="仿宋_GB2312" w:eastAsia="仿宋_GB2312" w:cs="仿宋_GB2312"/>
                <w:color w:val="000000"/>
                <w:kern w:val="0"/>
                <w:szCs w:val="21"/>
                <w:lang w:bidi="ar"/>
              </w:rPr>
              <w:t>中共北京市委党校（北京行政学院）党史党建教研部教授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shd w:val="clear" w:color="000000" w:fill="FFFFFF"/>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开好支部委员会  做好新时代党支部委员会建设工作</w:t>
            </w:r>
          </w:p>
        </w:tc>
        <w:tc>
          <w:tcPr>
            <w:tcW w:w="586" w:type="pct"/>
            <w:shd w:val="clear" w:color="000000" w:fill="FFFFFF"/>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林建华</w:t>
            </w:r>
          </w:p>
        </w:tc>
        <w:tc>
          <w:tcPr>
            <w:tcW w:w="1933" w:type="pct"/>
            <w:shd w:val="clear" w:color="000000" w:fill="FFFFFF"/>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中共北京市昌平区委党校哲学政治学教研室主任，教授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党小组会的主要内容和程序</w:t>
            </w:r>
          </w:p>
        </w:tc>
        <w:tc>
          <w:tcPr>
            <w:tcW w:w="586" w:type="pct"/>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微  课</w:t>
            </w:r>
          </w:p>
        </w:tc>
        <w:tc>
          <w:tcPr>
            <w:tcW w:w="1933" w:type="pct"/>
            <w:noWrap w:val="0"/>
            <w:vAlign w:val="center"/>
          </w:tcPr>
          <w:p>
            <w:pP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如何讲好党课</w:t>
            </w:r>
          </w:p>
        </w:tc>
        <w:tc>
          <w:tcPr>
            <w:tcW w:w="586" w:type="pct"/>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郑  萼</w:t>
            </w:r>
          </w:p>
        </w:tc>
        <w:tc>
          <w:tcPr>
            <w:tcW w:w="1933" w:type="pct"/>
            <w:noWrap w:val="0"/>
            <w:vAlign w:val="center"/>
          </w:tcPr>
          <w:p>
            <w:pPr>
              <w:widowControl/>
              <w:jc w:val="left"/>
              <w:textAlignment w:val="center"/>
              <w:rPr>
                <w:rFonts w:hint="eastAsia" w:ascii="仿宋_GB2312" w:hAnsi="仿宋_GB2312" w:eastAsia="仿宋_GB2312" w:cs="仿宋_GB2312"/>
                <w:b/>
                <w:bCs/>
                <w:szCs w:val="21"/>
              </w:rPr>
            </w:pPr>
            <w:r>
              <w:rPr>
                <w:rFonts w:hint="eastAsia" w:ascii="仿宋_GB2312" w:hAnsi="仿宋_GB2312" w:eastAsia="仿宋_GB2312" w:cs="仿宋_GB2312"/>
                <w:color w:val="000000"/>
                <w:kern w:val="0"/>
                <w:szCs w:val="21"/>
                <w:lang w:bidi="ar"/>
              </w:rPr>
              <w:t>首都师范大学原党委书记、研究员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3"/>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b/>
                <w:bCs/>
                <w:color w:val="000000"/>
                <w:kern w:val="0"/>
                <w:szCs w:val="21"/>
                <w:lang w:bidi="ar"/>
              </w:rPr>
              <w:t>组织生活会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如何开好民主生活会和组织生活会</w:t>
            </w:r>
          </w:p>
        </w:tc>
        <w:tc>
          <w:tcPr>
            <w:tcW w:w="586" w:type="pct"/>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初青松</w:t>
            </w:r>
          </w:p>
        </w:tc>
        <w:tc>
          <w:tcPr>
            <w:tcW w:w="1933" w:type="pct"/>
            <w:noWrap w:val="0"/>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东北大学党校常务副校长、机关党委书记、党委组织部副部长，研究员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如何开好组织生活会</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胡  伟</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南京理工大学化学与化工学院党委副书记、纪委书记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党支部如何开展谈心谈话活动</w:t>
            </w:r>
          </w:p>
        </w:tc>
        <w:tc>
          <w:tcPr>
            <w:tcW w:w="586" w:type="pc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邱少明</w:t>
            </w:r>
          </w:p>
        </w:tc>
        <w:tc>
          <w:tcPr>
            <w:tcW w:w="1933"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中共铁道党校党建和基本理论教研部副教授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3"/>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b/>
                <w:bCs/>
                <w:color w:val="000000"/>
                <w:kern w:val="0"/>
                <w:szCs w:val="21"/>
                <w:lang w:bidi="ar"/>
              </w:rPr>
              <w:t>主题党日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主题党日的主要内容</w:t>
            </w:r>
          </w:p>
        </w:tc>
        <w:tc>
          <w:tcPr>
            <w:tcW w:w="586" w:type="pct"/>
            <w:vMerge w:val="restar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边  红</w:t>
            </w:r>
          </w:p>
        </w:tc>
        <w:tc>
          <w:tcPr>
            <w:tcW w:w="1933" w:type="pct"/>
            <w:vMerge w:val="restar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房山教育党校副书记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主题党日中常见的问题</w:t>
            </w:r>
          </w:p>
        </w:tc>
        <w:tc>
          <w:tcPr>
            <w:tcW w:w="586" w:type="pct"/>
            <w:vMerge w:val="continue"/>
            <w:noWrap w:val="0"/>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933" w:type="pct"/>
            <w:vMerge w:val="continue"/>
            <w:noWrap w:val="0"/>
            <w:vAlign w:val="center"/>
          </w:tcPr>
          <w:p>
            <w:pPr>
              <w:widowControl/>
              <w:jc w:val="left"/>
              <w:textAlignment w:val="center"/>
              <w:rPr>
                <w:rFonts w:hint="eastAsia" w:ascii="仿宋_GB2312" w:hAnsi="仿宋_GB2312" w:eastAsia="仿宋_GB2312" w:cs="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怎么提升主题党日的实效</w:t>
            </w:r>
          </w:p>
        </w:tc>
        <w:tc>
          <w:tcPr>
            <w:tcW w:w="586" w:type="pct"/>
            <w:vMerge w:val="continue"/>
            <w:noWrap w:val="0"/>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933" w:type="pct"/>
            <w:vMerge w:val="continue"/>
            <w:noWrap w:val="0"/>
            <w:vAlign w:val="center"/>
          </w:tcPr>
          <w:p>
            <w:pPr>
              <w:widowControl/>
              <w:jc w:val="left"/>
              <w:textAlignment w:val="center"/>
              <w:rPr>
                <w:rFonts w:hint="eastAsia" w:ascii="仿宋_GB2312" w:hAnsi="仿宋_GB2312" w:eastAsia="仿宋_GB2312" w:cs="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3"/>
            <w:noWrap w:val="0"/>
            <w:vAlign w:val="center"/>
          </w:tcPr>
          <w:p>
            <w:pPr>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b/>
                <w:bCs/>
                <w:color w:val="000000"/>
                <w:kern w:val="0"/>
                <w:szCs w:val="21"/>
                <w:lang w:bidi="ar"/>
              </w:rPr>
              <w:t>严格执行选举制度规定，提高党内选举质量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党的基层组织换届选举的原则</w:t>
            </w:r>
          </w:p>
        </w:tc>
        <w:tc>
          <w:tcPr>
            <w:tcW w:w="586" w:type="pct"/>
            <w:vMerge w:val="restart"/>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吕冬冬</w:t>
            </w:r>
          </w:p>
        </w:tc>
        <w:tc>
          <w:tcPr>
            <w:tcW w:w="1933" w:type="pct"/>
            <w:vMerge w:val="restar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中共北京市顺义区委党校党建教授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党的基层组织换届选举的范围</w:t>
            </w:r>
          </w:p>
        </w:tc>
        <w:tc>
          <w:tcPr>
            <w:tcW w:w="586" w:type="pct"/>
            <w:vMerge w:val="continue"/>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kern w:val="0"/>
                <w:szCs w:val="21"/>
                <w:lang w:bidi="ar"/>
              </w:rPr>
            </w:pPr>
          </w:p>
        </w:tc>
        <w:tc>
          <w:tcPr>
            <w:tcW w:w="1933" w:type="pct"/>
            <w:vMerge w:val="continue"/>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党的基层组织换届选举的实施</w:t>
            </w:r>
          </w:p>
        </w:tc>
        <w:tc>
          <w:tcPr>
            <w:tcW w:w="586" w:type="pct"/>
            <w:vMerge w:val="continue"/>
            <w:noWrap w:val="0"/>
            <w:vAlign w:val="center"/>
          </w:tcPr>
          <w:p>
            <w:pPr>
              <w:jc w:val="center"/>
              <w:rPr>
                <w:rFonts w:hint="eastAsia" w:ascii="仿宋_GB2312" w:hAnsi="仿宋_GB2312" w:eastAsia="仿宋_GB2312" w:cs="仿宋_GB2312"/>
                <w:color w:val="000000"/>
                <w:kern w:val="0"/>
                <w:szCs w:val="21"/>
                <w:lang w:bidi="ar"/>
              </w:rPr>
            </w:pPr>
          </w:p>
        </w:tc>
        <w:tc>
          <w:tcPr>
            <w:tcW w:w="1933" w:type="pct"/>
            <w:vMerge w:val="continue"/>
            <w:noWrap w:val="0"/>
            <w:vAlign w:val="center"/>
          </w:tcPr>
          <w:p>
            <w:pPr>
              <w:jc w:val="left"/>
              <w:rPr>
                <w:rFonts w:hint="eastAsia" w:ascii="仿宋_GB2312" w:hAnsi="仿宋_GB2312" w:eastAsia="仿宋_GB2312" w:cs="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党的基层组织换届选举的呈报审批</w:t>
            </w:r>
          </w:p>
        </w:tc>
        <w:tc>
          <w:tcPr>
            <w:tcW w:w="586" w:type="pct"/>
            <w:vMerge w:val="continue"/>
            <w:noWrap w:val="0"/>
            <w:vAlign w:val="center"/>
          </w:tcPr>
          <w:p>
            <w:pPr>
              <w:jc w:val="center"/>
              <w:rPr>
                <w:rFonts w:hint="eastAsia" w:ascii="仿宋_GB2312" w:hAnsi="仿宋_GB2312" w:eastAsia="仿宋_GB2312" w:cs="仿宋_GB2312"/>
                <w:color w:val="000000"/>
                <w:kern w:val="0"/>
                <w:szCs w:val="21"/>
                <w:lang w:bidi="ar"/>
              </w:rPr>
            </w:pPr>
          </w:p>
        </w:tc>
        <w:tc>
          <w:tcPr>
            <w:tcW w:w="1933" w:type="pct"/>
            <w:vMerge w:val="continue"/>
            <w:noWrap w:val="0"/>
            <w:vAlign w:val="center"/>
          </w:tcPr>
          <w:p>
            <w:pPr>
              <w:jc w:val="left"/>
              <w:rPr>
                <w:rFonts w:hint="eastAsia" w:ascii="仿宋_GB2312" w:hAnsi="仿宋_GB2312" w:eastAsia="仿宋_GB2312" w:cs="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党的基层组织换届选举的纪律和监督</w:t>
            </w:r>
          </w:p>
        </w:tc>
        <w:tc>
          <w:tcPr>
            <w:tcW w:w="586" w:type="pct"/>
            <w:vMerge w:val="continue"/>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kern w:val="0"/>
                <w:szCs w:val="21"/>
                <w:lang w:bidi="ar"/>
              </w:rPr>
            </w:pPr>
          </w:p>
        </w:tc>
        <w:tc>
          <w:tcPr>
            <w:tcW w:w="1933" w:type="pct"/>
            <w:vMerge w:val="continue"/>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b/>
                <w:bCs/>
                <w:color w:val="000000"/>
                <w:kern w:val="0"/>
                <w:szCs w:val="21"/>
                <w:lang w:bidi="ar"/>
              </w:rPr>
              <w:t>发展党员工作流程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发展党员工作的基本发展党员工作的基本流程与实践探索——申请入党</w:t>
            </w:r>
          </w:p>
        </w:tc>
        <w:tc>
          <w:tcPr>
            <w:tcW w:w="586" w:type="pct"/>
            <w:vMerge w:val="restart"/>
            <w:tcBorders>
              <w:top w:val="single" w:color="auto" w:sz="4" w:space="0"/>
              <w:left w:val="nil"/>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蔡英辉</w:t>
            </w:r>
          </w:p>
        </w:tc>
        <w:tc>
          <w:tcPr>
            <w:tcW w:w="1933" w:type="pct"/>
            <w:vMerge w:val="restart"/>
            <w:tcBorders>
              <w:top w:val="single" w:color="auto" w:sz="4" w:space="0"/>
              <w:left w:val="nil"/>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对外经济贸易大学组织员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发展党员工作的基本流程与实践探索——入党积极分子的确定和培养教育</w:t>
            </w:r>
          </w:p>
        </w:tc>
        <w:tc>
          <w:tcPr>
            <w:tcW w:w="586" w:type="pct"/>
            <w:vMerge w:val="continue"/>
            <w:tcBorders>
              <w:left w:val="nil"/>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933" w:type="pct"/>
            <w:vMerge w:val="continue"/>
            <w:tcBorders>
              <w:left w:val="nil"/>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发展党员工作的基本流程与实践探索——发展对象的确定和考察</w:t>
            </w:r>
          </w:p>
        </w:tc>
        <w:tc>
          <w:tcPr>
            <w:tcW w:w="586" w:type="pct"/>
            <w:vMerge w:val="continue"/>
            <w:tcBorders>
              <w:left w:val="nil"/>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933" w:type="pct"/>
            <w:vMerge w:val="continue"/>
            <w:tcBorders>
              <w:left w:val="nil"/>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发展党员工作的基本流程与实践探索——预备党员的接收</w:t>
            </w:r>
          </w:p>
        </w:tc>
        <w:tc>
          <w:tcPr>
            <w:tcW w:w="586" w:type="pct"/>
            <w:vMerge w:val="continue"/>
            <w:tcBorders>
              <w:left w:val="nil"/>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933" w:type="pct"/>
            <w:vMerge w:val="continue"/>
            <w:tcBorders>
              <w:left w:val="nil"/>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发展党员工作的基本流程与实践探索——预备党员的教育、考察和转正</w:t>
            </w:r>
          </w:p>
        </w:tc>
        <w:tc>
          <w:tcPr>
            <w:tcW w:w="586" w:type="pct"/>
            <w:vMerge w:val="continue"/>
            <w:tcBorders>
              <w:left w:val="nil"/>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p>
        </w:tc>
        <w:tc>
          <w:tcPr>
            <w:tcW w:w="1933" w:type="pct"/>
            <w:vMerge w:val="continue"/>
            <w:tcBorders>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b/>
                <w:bCs/>
                <w:color w:val="000000"/>
                <w:kern w:val="0"/>
                <w:szCs w:val="21"/>
                <w:lang w:bidi="ar"/>
              </w:rPr>
              <w:t>新时代下的党组织关系转接和接收工作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党员组织关系及转移规定</w:t>
            </w:r>
          </w:p>
        </w:tc>
        <w:tc>
          <w:tcPr>
            <w:tcW w:w="586" w:type="pct"/>
            <w:vMerge w:val="restar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元跃旗</w:t>
            </w:r>
          </w:p>
        </w:tc>
        <w:tc>
          <w:tcPr>
            <w:tcW w:w="1933" w:type="pct"/>
            <w:vMerge w:val="restar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北京市委党校党史党建教研部副教授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不同领域不同情况党员组织关系的管理</w:t>
            </w:r>
          </w:p>
        </w:tc>
        <w:tc>
          <w:tcPr>
            <w:tcW w:w="586" w:type="pct"/>
            <w:vMerge w:val="continue"/>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kern w:val="0"/>
                <w:szCs w:val="21"/>
                <w:lang w:bidi="ar"/>
              </w:rPr>
            </w:pPr>
          </w:p>
        </w:tc>
        <w:tc>
          <w:tcPr>
            <w:tcW w:w="1933" w:type="pct"/>
            <w:vMerge w:val="continue"/>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党组织在转接党员组织关系时的基本职责</w:t>
            </w:r>
          </w:p>
        </w:tc>
        <w:tc>
          <w:tcPr>
            <w:tcW w:w="586" w:type="pct"/>
            <w:vMerge w:val="continue"/>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kern w:val="0"/>
                <w:szCs w:val="21"/>
                <w:lang w:bidi="ar"/>
              </w:rPr>
            </w:pPr>
          </w:p>
        </w:tc>
        <w:tc>
          <w:tcPr>
            <w:tcW w:w="1933" w:type="pct"/>
            <w:vMerge w:val="continue"/>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对入党手续“异常”的处理方法</w:t>
            </w:r>
          </w:p>
        </w:tc>
        <w:tc>
          <w:tcPr>
            <w:tcW w:w="586" w:type="pct"/>
            <w:vMerge w:val="continue"/>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kern w:val="0"/>
                <w:szCs w:val="21"/>
                <w:lang w:bidi="ar"/>
              </w:rPr>
            </w:pPr>
          </w:p>
        </w:tc>
        <w:tc>
          <w:tcPr>
            <w:tcW w:w="1933" w:type="pct"/>
            <w:vMerge w:val="continue"/>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补办《入党志愿书》的程序</w:t>
            </w:r>
          </w:p>
        </w:tc>
        <w:tc>
          <w:tcPr>
            <w:tcW w:w="586" w:type="pct"/>
            <w:vMerge w:val="continue"/>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kern w:val="0"/>
                <w:szCs w:val="21"/>
                <w:lang w:bidi="ar"/>
              </w:rPr>
            </w:pPr>
          </w:p>
        </w:tc>
        <w:tc>
          <w:tcPr>
            <w:tcW w:w="1933" w:type="pct"/>
            <w:vMerge w:val="continue"/>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转接党员组织关系的程序</w:t>
            </w:r>
          </w:p>
        </w:tc>
        <w:tc>
          <w:tcPr>
            <w:tcW w:w="586" w:type="pct"/>
            <w:vMerge w:val="continue"/>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kern w:val="0"/>
                <w:szCs w:val="21"/>
                <w:lang w:bidi="ar"/>
              </w:rPr>
            </w:pPr>
          </w:p>
        </w:tc>
        <w:tc>
          <w:tcPr>
            <w:tcW w:w="1933" w:type="pct"/>
            <w:vMerge w:val="continue"/>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应接入的党组织与介绍信信息不一致的处理</w:t>
            </w:r>
          </w:p>
        </w:tc>
        <w:tc>
          <w:tcPr>
            <w:tcW w:w="586" w:type="pct"/>
            <w:vMerge w:val="continue"/>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kern w:val="0"/>
                <w:szCs w:val="21"/>
                <w:lang w:bidi="ar"/>
              </w:rPr>
            </w:pPr>
          </w:p>
        </w:tc>
        <w:tc>
          <w:tcPr>
            <w:tcW w:w="1933" w:type="pct"/>
            <w:vMerge w:val="continue"/>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b/>
                <w:bCs/>
                <w:color w:val="000000"/>
                <w:kern w:val="0"/>
                <w:szCs w:val="21"/>
                <w:lang w:bidi="ar"/>
              </w:rPr>
              <w:t>关于党费收缴、使用和管理的相关规定和解读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党费制度的由来与依据</w:t>
            </w:r>
          </w:p>
        </w:tc>
        <w:tc>
          <w:tcPr>
            <w:tcW w:w="58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吕冬冬</w:t>
            </w:r>
          </w:p>
        </w:tc>
        <w:tc>
          <w:tcPr>
            <w:tcW w:w="1933"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中共北京市顺义区委党校党建教授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党费收缴的规定及相关问题</w:t>
            </w:r>
          </w:p>
        </w:tc>
        <w:tc>
          <w:tcPr>
            <w:tcW w:w="58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吕冬冬</w:t>
            </w:r>
          </w:p>
        </w:tc>
        <w:tc>
          <w:tcPr>
            <w:tcW w:w="1933"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中共北京市顺义区委党校党建教授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党费管理的规定及相关问题</w:t>
            </w:r>
          </w:p>
        </w:tc>
        <w:tc>
          <w:tcPr>
            <w:tcW w:w="58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吕冬冬</w:t>
            </w:r>
          </w:p>
        </w:tc>
        <w:tc>
          <w:tcPr>
            <w:tcW w:w="1933"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中共北京市顺义区委党校党建教授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FBE5D6"/>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b/>
                <w:bCs/>
                <w:color w:val="000000"/>
                <w:kern w:val="0"/>
                <w:szCs w:val="21"/>
                <w:lang w:bidi="ar"/>
              </w:rPr>
              <w:t>干部综合能力素养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新时代领导干部意识形态能力建设</w:t>
            </w:r>
          </w:p>
        </w:tc>
        <w:tc>
          <w:tcPr>
            <w:tcW w:w="58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朱继东</w:t>
            </w:r>
          </w:p>
        </w:tc>
        <w:tc>
          <w:tcPr>
            <w:tcW w:w="1933"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中国社会科学院国家文化安全与意识形态建设研究中心副主任兼秘书长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坚持党建带群建，领导群团组织和社会组织参与基层治理</w:t>
            </w:r>
          </w:p>
        </w:tc>
        <w:tc>
          <w:tcPr>
            <w:tcW w:w="58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周庆智</w:t>
            </w:r>
          </w:p>
        </w:tc>
        <w:tc>
          <w:tcPr>
            <w:tcW w:w="1933"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中国社科院政治学所政治文化室主任、研究员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如何做好新时代党外知识分子的统战工作</w:t>
            </w:r>
          </w:p>
        </w:tc>
        <w:tc>
          <w:tcPr>
            <w:tcW w:w="58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李小宁</w:t>
            </w:r>
          </w:p>
        </w:tc>
        <w:tc>
          <w:tcPr>
            <w:tcW w:w="1933"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中央社会主义学院统战理论教研部原副主任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高校管理者基于“中和”的领导力自我开发</w:t>
            </w:r>
          </w:p>
        </w:tc>
        <w:tc>
          <w:tcPr>
            <w:tcW w:w="58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于海波</w:t>
            </w:r>
          </w:p>
        </w:tc>
        <w:tc>
          <w:tcPr>
            <w:tcW w:w="1933"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北京师范大学政府管理学院党委书记、教授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沟通艺术与领导力提升</w:t>
            </w:r>
          </w:p>
        </w:tc>
        <w:tc>
          <w:tcPr>
            <w:tcW w:w="58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张光生</w:t>
            </w:r>
          </w:p>
        </w:tc>
        <w:tc>
          <w:tcPr>
            <w:tcW w:w="1933"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江南大学校长助理、环境科学与工程系教授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压力与情绪疏导一一领导干部心理调适</w:t>
            </w:r>
          </w:p>
        </w:tc>
        <w:tc>
          <w:tcPr>
            <w:tcW w:w="58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郑日昌</w:t>
            </w:r>
          </w:p>
        </w:tc>
        <w:tc>
          <w:tcPr>
            <w:tcW w:w="1933"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北京师范大学辅仁应用心理发展中心主任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80"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压力与睡眠健康管理</w:t>
            </w:r>
          </w:p>
        </w:tc>
        <w:tc>
          <w:tcPr>
            <w:tcW w:w="586"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  健</w:t>
            </w:r>
          </w:p>
        </w:tc>
        <w:tc>
          <w:tcPr>
            <w:tcW w:w="1933"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中国中医科学院广安门医院心理科（睡眠科）主任</w:t>
            </w:r>
          </w:p>
        </w:tc>
      </w:tr>
    </w:tbl>
    <w:p>
      <w:pPr>
        <w:snapToGrid w:val="0"/>
        <w:rPr>
          <w:rFonts w:ascii="楷体" w:hAnsi="楷体" w:eastAsia="楷体" w:cs="仿宋"/>
          <w:color w:val="000000"/>
          <w:sz w:val="24"/>
        </w:rPr>
      </w:pPr>
      <w:r>
        <w:rPr>
          <w:rFonts w:ascii="楷体" w:hAnsi="楷体" w:eastAsia="楷体" w:cs="仿宋"/>
          <w:color w:val="000000"/>
          <w:sz w:val="24"/>
        </w:rPr>
        <w:t>说明</w:t>
      </w:r>
      <w:r>
        <w:rPr>
          <w:rFonts w:hint="eastAsia" w:ascii="楷体" w:hAnsi="楷体" w:eastAsia="楷体" w:cs="仿宋"/>
          <w:color w:val="000000"/>
          <w:sz w:val="24"/>
        </w:rPr>
        <w:t>：</w:t>
      </w:r>
      <w:r>
        <w:rPr>
          <w:rFonts w:eastAsia="楷体"/>
          <w:color w:val="000000"/>
          <w:sz w:val="24"/>
        </w:rPr>
        <w:t>1</w:t>
      </w:r>
      <w:r>
        <w:rPr>
          <w:rFonts w:hint="eastAsia" w:ascii="仿宋_GB2312" w:eastAsia="仿宋_GB2312"/>
          <w:color w:val="000000"/>
          <w:sz w:val="24"/>
        </w:rPr>
        <w:t>.</w:t>
      </w:r>
      <w:r>
        <w:rPr>
          <w:rFonts w:hint="eastAsia" w:ascii="楷体" w:hAnsi="楷体" w:eastAsia="楷体" w:cs="仿宋"/>
          <w:color w:val="000000"/>
          <w:sz w:val="24"/>
        </w:rPr>
        <w:t>个别课程或稍有调整，请以平台最终发布课程为准；</w:t>
      </w:r>
    </w:p>
    <w:p>
      <w:pPr>
        <w:ind w:firstLine="720" w:firstLineChars="300"/>
        <w:rPr>
          <w:rFonts w:eastAsia="方正小标宋简体"/>
          <w:color w:val="000000"/>
          <w:szCs w:val="21"/>
        </w:rPr>
      </w:pPr>
      <w:r>
        <w:rPr>
          <w:rFonts w:eastAsia="楷体"/>
          <w:color w:val="000000"/>
          <w:sz w:val="24"/>
        </w:rPr>
        <w:t>2</w:t>
      </w:r>
      <w:r>
        <w:rPr>
          <w:rFonts w:hint="eastAsia" w:ascii="仿宋_GB2312" w:eastAsia="仿宋_GB2312"/>
          <w:color w:val="000000"/>
          <w:sz w:val="24"/>
        </w:rPr>
        <w:t>.</w:t>
      </w:r>
      <w:r>
        <w:rPr>
          <w:rFonts w:ascii="楷体" w:hAnsi="楷体" w:eastAsia="楷体" w:cs="仿宋"/>
          <w:color w:val="000000"/>
          <w:sz w:val="24"/>
        </w:rPr>
        <w:t>课程主讲人职务为课程录制时的职务</w:t>
      </w:r>
      <w:r>
        <w:rPr>
          <w:rFonts w:hint="eastAsia" w:ascii="楷体" w:hAnsi="楷体" w:eastAsia="楷体" w:cs="仿宋"/>
          <w:color w:val="000000"/>
          <w:sz w:val="24"/>
        </w:rPr>
        <w:t>。</w:t>
      </w:r>
    </w:p>
    <w:p>
      <w:pPr>
        <w:pStyle w:val="2"/>
        <w:rPr>
          <w:rFonts w:eastAsia="黑体"/>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ZjAzZWE1ZWRkMTE1YWEzZjc4Y2Y0YzQwOGQ0NDkifQ=="/>
  </w:docVars>
  <w:rsids>
    <w:rsidRoot w:val="00000000"/>
    <w:rsid w:val="08C32663"/>
    <w:rsid w:val="69FE4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2"/>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2023-09-18T05:22:00Z</dcterms:created>
  <dc:creator>Administrator</dc:creator>
  <cp:lastModifiedBy>一叶编舟</cp:lastModifiedBy>
  <dcterms:modified xsi:type="dcterms:W3CDTF">2023-09-18T05:26:32Z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1B3F6126927349ABA796524A30B221F5_12</vt:lpwstr>
  </property>
</Properties>
</file>