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0" w:after="0" w:line="560" w:lineRule="exact"/>
        <w:rPr>
          <w:rFonts w:eastAsia="黑体"/>
        </w:rPr>
      </w:pPr>
      <w:r>
        <w:rPr>
          <w:rFonts w:hint="eastAsia" w:eastAsia="黑体"/>
          <w:szCs w:val="32"/>
        </w:rPr>
        <w:t>附件1</w:t>
      </w:r>
    </w:p>
    <w:p>
      <w:pPr>
        <w:snapToGrid w:val="0"/>
        <w:ind w:firstLine="600" w:firstLineChars="200"/>
        <w:jc w:val="center"/>
        <w:rPr>
          <w:rFonts w:ascii="方正小标宋简体" w:hAnsi="方正小标宋简体" w:eastAsia="方正小标宋简体" w:cs="方正小标宋简体"/>
          <w:bCs/>
          <w:color w:val="000000"/>
          <w:sz w:val="30"/>
          <w:szCs w:val="30"/>
        </w:rPr>
      </w:pPr>
      <w:bookmarkStart w:id="0" w:name="_Hlk82683497"/>
      <w:r>
        <w:rPr>
          <w:rFonts w:hint="eastAsia" w:ascii="方正小标宋简体" w:hAnsi="方正小标宋简体" w:eastAsia="方正小标宋简体" w:cs="方正小标宋简体"/>
          <w:bCs/>
          <w:color w:val="000000"/>
          <w:sz w:val="30"/>
          <w:szCs w:val="30"/>
        </w:rPr>
        <w:t>教师党支部书记班网络培训课程表</w:t>
      </w:r>
    </w:p>
    <w:tbl>
      <w:tblPr>
        <w:tblStyle w:val="3"/>
        <w:tblpPr w:leftFromText="180" w:rightFromText="180" w:vertAnchor="text" w:horzAnchor="page" w:tblpXSpec="center" w:tblpY="471"/>
        <w:tblOverlap w:val="never"/>
        <w:tblW w:w="508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99"/>
        <w:gridCol w:w="1016"/>
        <w:gridCol w:w="33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blHeader/>
          <w:jc w:val="center"/>
        </w:trPr>
        <w:tc>
          <w:tcPr>
            <w:tcW w:w="2480" w:type="pct"/>
            <w:noWrap/>
            <w:vAlign w:val="center"/>
          </w:tcPr>
          <w:p>
            <w:pPr>
              <w:jc w:val="center"/>
              <w:rPr>
                <w:rFonts w:hint="eastAsia" w:ascii="仿宋_GB2312" w:hAnsi="仿宋_GB2312" w:eastAsia="仿宋_GB2312" w:cs="仿宋_GB2312"/>
                <w:b/>
                <w:bCs/>
                <w:szCs w:val="21"/>
              </w:rPr>
            </w:pPr>
            <w:r>
              <w:rPr>
                <w:rFonts w:hint="eastAsia" w:ascii="仿宋_GB2312" w:hAnsi="仿宋_GB2312" w:eastAsia="仿宋_GB2312" w:cs="仿宋_GB2312"/>
                <w:b/>
                <w:bCs/>
                <w:szCs w:val="21"/>
              </w:rPr>
              <w:t>课程名称</w:t>
            </w:r>
          </w:p>
        </w:tc>
        <w:tc>
          <w:tcPr>
            <w:tcW w:w="586" w:type="pct"/>
            <w:noWrap/>
            <w:vAlign w:val="center"/>
          </w:tcPr>
          <w:p>
            <w:pPr>
              <w:jc w:val="center"/>
              <w:rPr>
                <w:rFonts w:hint="eastAsia" w:ascii="仿宋_GB2312" w:hAnsi="仿宋_GB2312" w:eastAsia="仿宋_GB2312" w:cs="仿宋_GB2312"/>
                <w:b/>
                <w:bCs/>
                <w:szCs w:val="21"/>
              </w:rPr>
            </w:pPr>
            <w:r>
              <w:rPr>
                <w:rFonts w:hint="eastAsia" w:ascii="仿宋_GB2312" w:hAnsi="仿宋_GB2312" w:eastAsia="仿宋_GB2312" w:cs="仿宋_GB2312"/>
                <w:b/>
                <w:bCs/>
                <w:szCs w:val="21"/>
              </w:rPr>
              <w:t>主讲人</w:t>
            </w:r>
          </w:p>
        </w:tc>
        <w:tc>
          <w:tcPr>
            <w:tcW w:w="1933" w:type="pct"/>
            <w:noWrap/>
            <w:vAlign w:val="center"/>
          </w:tcPr>
          <w:p>
            <w:pPr>
              <w:jc w:val="center"/>
              <w:rPr>
                <w:rFonts w:hint="eastAsia" w:ascii="仿宋_GB2312" w:hAnsi="仿宋_GB2312" w:eastAsia="仿宋_GB2312" w:cs="仿宋_GB2312"/>
                <w:b/>
                <w:bCs/>
                <w:szCs w:val="21"/>
              </w:rPr>
            </w:pPr>
            <w:r>
              <w:rPr>
                <w:rFonts w:hint="eastAsia" w:ascii="仿宋_GB2312" w:hAnsi="仿宋_GB2312" w:eastAsia="仿宋_GB2312" w:cs="仿宋_GB2312"/>
                <w:b/>
                <w:bCs/>
                <w:szCs w:val="21"/>
              </w:rPr>
              <w:t>单位与职务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5000" w:type="pct"/>
            <w:gridSpan w:val="3"/>
            <w:shd w:val="clear" w:color="auto" w:fill="E6E0EC"/>
            <w:noWrap w:val="0"/>
            <w:vAlign w:val="center"/>
          </w:tcPr>
          <w:p>
            <w:pPr>
              <w:widowControl/>
              <w:jc w:val="center"/>
              <w:textAlignment w:val="center"/>
              <w:rPr>
                <w:rFonts w:hint="eastAsia" w:ascii="仿宋_GB2312" w:hAnsi="仿宋_GB2312" w:eastAsia="仿宋_GB2312" w:cs="仿宋_GB2312"/>
                <w:b/>
                <w:bCs/>
                <w:color w:val="000000"/>
                <w:kern w:val="0"/>
                <w:szCs w:val="21"/>
                <w:lang w:bidi="ar"/>
              </w:rPr>
            </w:pPr>
            <w:r>
              <w:rPr>
                <w:rFonts w:hint="eastAsia" w:ascii="仿宋_GB2312" w:hAnsi="仿宋_GB2312" w:eastAsia="仿宋_GB2312" w:cs="仿宋_GB2312"/>
                <w:b/>
                <w:bCs/>
                <w:color w:val="000000"/>
                <w:kern w:val="0"/>
                <w:sz w:val="24"/>
                <w:szCs w:val="24"/>
                <w:lang w:bidi="ar"/>
              </w:rPr>
              <w:t>习近平新时代中国特色社会主义思想和党的二十大精神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2480" w:type="pct"/>
            <w:noWrap w:val="0"/>
            <w:vAlign w:val="center"/>
          </w:tcPr>
          <w:p>
            <w:pPr>
              <w:widowControl/>
              <w:jc w:val="left"/>
              <w:textAlignment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习近平新时代中国特色社会主义思想的世界观和方法论</w:t>
            </w:r>
          </w:p>
        </w:tc>
        <w:tc>
          <w:tcPr>
            <w:tcW w:w="586" w:type="pct"/>
            <w:noWrap w:val="0"/>
            <w:vAlign w:val="center"/>
          </w:tcPr>
          <w:p>
            <w:pPr>
              <w:widowControl/>
              <w:jc w:val="center"/>
              <w:textAlignment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辛向阳</w:t>
            </w:r>
          </w:p>
        </w:tc>
        <w:tc>
          <w:tcPr>
            <w:tcW w:w="1933" w:type="pct"/>
            <w:noWrap w:val="0"/>
            <w:vAlign w:val="center"/>
          </w:tcPr>
          <w:p>
            <w:pPr>
              <w:widowControl/>
              <w:jc w:val="left"/>
              <w:textAlignment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中国社会科学院马克思主义研究院党委书记、副院长，教授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2480" w:type="pct"/>
            <w:noWrap w:val="0"/>
            <w:vAlign w:val="center"/>
          </w:tcPr>
          <w:p>
            <w:pPr>
              <w:widowControl/>
              <w:jc w:val="left"/>
              <w:textAlignment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认真学习党的二十大精神，开辟马克思主义中国化时代化新境界</w:t>
            </w:r>
          </w:p>
        </w:tc>
        <w:tc>
          <w:tcPr>
            <w:tcW w:w="586" w:type="pct"/>
            <w:noWrap w:val="0"/>
            <w:vAlign w:val="center"/>
          </w:tcPr>
          <w:p>
            <w:pPr>
              <w:widowControl/>
              <w:jc w:val="center"/>
              <w:textAlignment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刘  春</w:t>
            </w:r>
          </w:p>
        </w:tc>
        <w:tc>
          <w:tcPr>
            <w:tcW w:w="1933" w:type="pct"/>
            <w:noWrap w:val="0"/>
            <w:vAlign w:val="center"/>
          </w:tcPr>
          <w:p>
            <w:pPr>
              <w:widowControl/>
              <w:jc w:val="left"/>
              <w:textAlignment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中共中央党校（国家行政学院）教授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2480" w:type="pct"/>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全面学习把握落实党的二十大精神</w:t>
            </w:r>
          </w:p>
        </w:tc>
        <w:tc>
          <w:tcPr>
            <w:tcW w:w="586" w:type="pct"/>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张  力</w:t>
            </w:r>
          </w:p>
        </w:tc>
        <w:tc>
          <w:tcPr>
            <w:tcW w:w="1933" w:type="pct"/>
            <w:tcBorders>
              <w:top w:val="single" w:color="auto" w:sz="4" w:space="0"/>
              <w:left w:val="nil"/>
              <w:bottom w:val="single" w:color="auto" w:sz="4" w:space="0"/>
              <w:right w:val="single" w:color="auto" w:sz="4" w:space="0"/>
            </w:tcBorders>
            <w:noWrap w:val="0"/>
            <w:vAlign w:val="center"/>
          </w:tcPr>
          <w:p>
            <w:pPr>
              <w:widowControl/>
              <w:jc w:val="left"/>
              <w:textAlignment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国家教育咨询委员会秘书长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2480" w:type="pct"/>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深入学习贯彻党的二十大精神 深刻把握 “两个确立”坚决做到“两个维护”</w:t>
            </w:r>
          </w:p>
        </w:tc>
        <w:tc>
          <w:tcPr>
            <w:tcW w:w="586" w:type="pct"/>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顾海良</w:t>
            </w:r>
          </w:p>
        </w:tc>
        <w:tc>
          <w:tcPr>
            <w:tcW w:w="1933" w:type="pct"/>
            <w:tcBorders>
              <w:top w:val="single" w:color="auto" w:sz="4" w:space="0"/>
              <w:left w:val="nil"/>
              <w:bottom w:val="single" w:color="auto" w:sz="4" w:space="0"/>
              <w:right w:val="single" w:color="auto" w:sz="4" w:space="0"/>
            </w:tcBorders>
            <w:noWrap w:val="0"/>
            <w:vAlign w:val="center"/>
          </w:tcPr>
          <w:p>
            <w:pPr>
              <w:widowControl/>
              <w:jc w:val="left"/>
              <w:textAlignment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北京大学马克思主义学院教授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2480" w:type="pct"/>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把握内在机理  坚持理论创新  不断推进马克思主义中国化时代化</w:t>
            </w:r>
          </w:p>
        </w:tc>
        <w:tc>
          <w:tcPr>
            <w:tcW w:w="586" w:type="pct"/>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董振华</w:t>
            </w:r>
          </w:p>
        </w:tc>
        <w:tc>
          <w:tcPr>
            <w:tcW w:w="1933" w:type="pct"/>
            <w:tcBorders>
              <w:top w:val="single" w:color="auto" w:sz="4" w:space="0"/>
              <w:left w:val="nil"/>
              <w:bottom w:val="single" w:color="auto" w:sz="4" w:space="0"/>
              <w:right w:val="single" w:color="auto" w:sz="4" w:space="0"/>
            </w:tcBorders>
            <w:noWrap w:val="0"/>
            <w:vAlign w:val="center"/>
          </w:tcPr>
          <w:p>
            <w:pPr>
              <w:widowControl/>
              <w:jc w:val="left"/>
              <w:textAlignment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中共中央党校（国家行政学院）哲学教研部副主任、教授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2480" w:type="pct"/>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学习贯彻党的二十大精神 以习近平总书记教育工作重要论述为指导 全面推进学校高质量办学</w:t>
            </w:r>
          </w:p>
        </w:tc>
        <w:tc>
          <w:tcPr>
            <w:tcW w:w="586" w:type="pct"/>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张志勇</w:t>
            </w:r>
          </w:p>
        </w:tc>
        <w:tc>
          <w:tcPr>
            <w:tcW w:w="1933" w:type="pct"/>
            <w:tcBorders>
              <w:top w:val="single" w:color="auto" w:sz="4" w:space="0"/>
              <w:left w:val="nil"/>
              <w:bottom w:val="single" w:color="auto" w:sz="4" w:space="0"/>
              <w:right w:val="single" w:color="auto" w:sz="4" w:space="0"/>
            </w:tcBorders>
            <w:noWrap w:val="0"/>
            <w:vAlign w:val="center"/>
          </w:tcPr>
          <w:p>
            <w:pPr>
              <w:widowControl/>
              <w:jc w:val="left"/>
              <w:textAlignment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北京师范大学中国教育政策研究院执行院长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2480" w:type="pct"/>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实施教育数字化战略行动 促进教育高质量发展</w:t>
            </w:r>
          </w:p>
        </w:tc>
        <w:tc>
          <w:tcPr>
            <w:tcW w:w="586" w:type="pct"/>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杨宗凯</w:t>
            </w:r>
          </w:p>
        </w:tc>
        <w:tc>
          <w:tcPr>
            <w:tcW w:w="1933" w:type="pct"/>
            <w:tcBorders>
              <w:top w:val="single" w:color="auto" w:sz="4" w:space="0"/>
              <w:left w:val="nil"/>
              <w:bottom w:val="single" w:color="auto" w:sz="4" w:space="0"/>
              <w:right w:val="single" w:color="auto" w:sz="4" w:space="0"/>
            </w:tcBorders>
            <w:noWrap w:val="0"/>
            <w:vAlign w:val="center"/>
          </w:tcPr>
          <w:p>
            <w:pPr>
              <w:widowControl/>
              <w:jc w:val="left"/>
              <w:textAlignment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武汉理工大学校长，教授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5000" w:type="pct"/>
            <w:gridSpan w:val="3"/>
            <w:shd w:val="clear" w:color="auto" w:fill="E6E0EC"/>
            <w:noWrap w:val="0"/>
            <w:vAlign w:val="center"/>
          </w:tcPr>
          <w:p>
            <w:pPr>
              <w:widowControl/>
              <w:adjustRightInd w:val="0"/>
              <w:snapToGrid w:val="0"/>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b/>
                <w:bCs/>
                <w:szCs w:val="21"/>
              </w:rPr>
              <w:t>高等教育高质量发展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2480" w:type="pct"/>
            <w:noWrap w:val="0"/>
            <w:vAlign w:val="center"/>
          </w:tcPr>
          <w:p>
            <w:pPr>
              <w:widowControl/>
              <w:jc w:val="left"/>
              <w:textAlignment w:val="center"/>
              <w:rPr>
                <w:rFonts w:hint="eastAsia" w:ascii="仿宋_GB2312" w:hAnsi="仿宋_GB2312" w:eastAsia="仿宋_GB2312" w:cs="仿宋_GB2312"/>
                <w:szCs w:val="21"/>
              </w:rPr>
            </w:pPr>
            <w:r>
              <w:rPr>
                <w:rFonts w:hint="eastAsia" w:ascii="仿宋_GB2312" w:hAnsi="仿宋_GB2312" w:eastAsia="仿宋_GB2312" w:cs="仿宋_GB2312"/>
                <w:color w:val="000000"/>
                <w:kern w:val="0"/>
                <w:szCs w:val="21"/>
                <w:lang w:bidi="ar"/>
              </w:rPr>
              <w:t>如何建设高质量教育体系</w:t>
            </w:r>
          </w:p>
        </w:tc>
        <w:tc>
          <w:tcPr>
            <w:tcW w:w="586" w:type="pct"/>
            <w:noWrap w:val="0"/>
            <w:vAlign w:val="center"/>
          </w:tcPr>
          <w:p>
            <w:pPr>
              <w:widowControl/>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color w:val="000000"/>
                <w:kern w:val="0"/>
                <w:szCs w:val="21"/>
                <w:lang w:bidi="ar"/>
              </w:rPr>
              <w:t>高书国</w:t>
            </w:r>
          </w:p>
        </w:tc>
        <w:tc>
          <w:tcPr>
            <w:tcW w:w="1933" w:type="pct"/>
            <w:noWrap w:val="0"/>
            <w:vAlign w:val="center"/>
          </w:tcPr>
          <w:p>
            <w:pPr>
              <w:widowControl/>
              <w:jc w:val="left"/>
              <w:textAlignment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中国教育学会副秘书长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2480" w:type="pct"/>
            <w:noWrap w:val="0"/>
            <w:vAlign w:val="center"/>
          </w:tcPr>
          <w:p>
            <w:pPr>
              <w:widowControl/>
              <w:jc w:val="left"/>
              <w:textAlignment w:val="center"/>
              <w:rPr>
                <w:rFonts w:hint="eastAsia" w:ascii="仿宋_GB2312" w:hAnsi="仿宋_GB2312" w:eastAsia="仿宋_GB2312" w:cs="仿宋_GB2312"/>
                <w:szCs w:val="21"/>
              </w:rPr>
            </w:pPr>
            <w:r>
              <w:rPr>
                <w:rFonts w:hint="eastAsia" w:ascii="仿宋_GB2312" w:hAnsi="仿宋_GB2312" w:eastAsia="仿宋_GB2312" w:cs="仿宋_GB2312"/>
                <w:color w:val="000000"/>
                <w:kern w:val="0"/>
                <w:szCs w:val="21"/>
                <w:lang w:bidi="ar"/>
              </w:rPr>
              <w:t>推进高校事业高质量发展</w:t>
            </w:r>
          </w:p>
        </w:tc>
        <w:tc>
          <w:tcPr>
            <w:tcW w:w="586" w:type="pct"/>
            <w:noWrap w:val="0"/>
            <w:vAlign w:val="center"/>
          </w:tcPr>
          <w:p>
            <w:pPr>
              <w:widowControl/>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color w:val="000000"/>
                <w:kern w:val="0"/>
                <w:szCs w:val="21"/>
                <w:lang w:bidi="ar"/>
              </w:rPr>
              <w:t>王树国</w:t>
            </w:r>
          </w:p>
        </w:tc>
        <w:tc>
          <w:tcPr>
            <w:tcW w:w="1933" w:type="pct"/>
            <w:noWrap w:val="0"/>
            <w:vAlign w:val="center"/>
          </w:tcPr>
          <w:p>
            <w:pPr>
              <w:widowControl/>
              <w:jc w:val="left"/>
              <w:textAlignment w:val="center"/>
              <w:rPr>
                <w:rFonts w:hint="eastAsia" w:ascii="仿宋_GB2312" w:hAnsi="仿宋_GB2312" w:eastAsia="仿宋_GB2312" w:cs="仿宋_GB2312"/>
                <w:szCs w:val="21"/>
              </w:rPr>
            </w:pPr>
            <w:r>
              <w:rPr>
                <w:rFonts w:hint="eastAsia" w:ascii="仿宋_GB2312" w:hAnsi="仿宋_GB2312" w:eastAsia="仿宋_GB2312" w:cs="仿宋_GB2312"/>
                <w:color w:val="000000"/>
                <w:kern w:val="0"/>
                <w:szCs w:val="21"/>
                <w:lang w:bidi="ar"/>
              </w:rPr>
              <w:t>西安交通大学校长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2480" w:type="pct"/>
            <w:noWrap w:val="0"/>
            <w:vAlign w:val="center"/>
          </w:tcPr>
          <w:p>
            <w:pPr>
              <w:widowControl/>
              <w:jc w:val="left"/>
              <w:textAlignment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实施教育数字化战略行动 促进教育高质量发展</w:t>
            </w:r>
          </w:p>
        </w:tc>
        <w:tc>
          <w:tcPr>
            <w:tcW w:w="586" w:type="pct"/>
            <w:noWrap w:val="0"/>
            <w:vAlign w:val="center"/>
          </w:tcPr>
          <w:p>
            <w:pPr>
              <w:widowControl/>
              <w:jc w:val="center"/>
              <w:textAlignment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杨宗凯</w:t>
            </w:r>
          </w:p>
        </w:tc>
        <w:tc>
          <w:tcPr>
            <w:tcW w:w="1933" w:type="pct"/>
            <w:noWrap w:val="0"/>
            <w:vAlign w:val="center"/>
          </w:tcPr>
          <w:p>
            <w:pPr>
              <w:widowControl/>
              <w:jc w:val="left"/>
              <w:textAlignment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武汉理工大学校长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2480" w:type="pct"/>
            <w:noWrap w:val="0"/>
            <w:vAlign w:val="center"/>
          </w:tcPr>
          <w:p>
            <w:pPr>
              <w:widowControl/>
              <w:jc w:val="left"/>
              <w:textAlignment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推动高校思政工作高质量发展</w:t>
            </w:r>
          </w:p>
        </w:tc>
        <w:tc>
          <w:tcPr>
            <w:tcW w:w="586" w:type="pct"/>
            <w:noWrap w:val="0"/>
            <w:vAlign w:val="center"/>
          </w:tcPr>
          <w:p>
            <w:pPr>
              <w:widowControl/>
              <w:jc w:val="center"/>
              <w:textAlignment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陈郭华</w:t>
            </w:r>
          </w:p>
        </w:tc>
        <w:tc>
          <w:tcPr>
            <w:tcW w:w="1933" w:type="pct"/>
            <w:noWrap w:val="0"/>
            <w:vAlign w:val="center"/>
          </w:tcPr>
          <w:p>
            <w:pPr>
              <w:widowControl/>
              <w:jc w:val="left"/>
              <w:textAlignment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教育部思想政治工作司宣传教育处处长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5000" w:type="pct"/>
            <w:gridSpan w:val="3"/>
            <w:shd w:val="clear" w:color="auto" w:fill="E6E0EC"/>
            <w:noWrap w:val="0"/>
            <w:vAlign w:val="center"/>
          </w:tcPr>
          <w:p>
            <w:pPr>
              <w:widowControl/>
              <w:jc w:val="center"/>
              <w:textAlignment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b/>
                <w:bCs/>
                <w:color w:val="000000"/>
                <w:kern w:val="0"/>
                <w:szCs w:val="21"/>
                <w:lang w:bidi="ar"/>
              </w:rPr>
              <w:t>思想政治工作和师德师风建设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2480" w:type="pct"/>
            <w:noWrap w:val="0"/>
            <w:vAlign w:val="center"/>
          </w:tcPr>
          <w:p>
            <w:pPr>
              <w:widowControl/>
              <w:jc w:val="left"/>
              <w:textAlignment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树立“大思政课”观 推动新时代思政课高质量发展</w:t>
            </w:r>
          </w:p>
        </w:tc>
        <w:tc>
          <w:tcPr>
            <w:tcW w:w="586" w:type="pct"/>
            <w:noWrap w:val="0"/>
            <w:vAlign w:val="center"/>
          </w:tcPr>
          <w:p>
            <w:pPr>
              <w:widowControl/>
              <w:jc w:val="center"/>
              <w:textAlignment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王新生</w:t>
            </w:r>
          </w:p>
        </w:tc>
        <w:tc>
          <w:tcPr>
            <w:tcW w:w="1933" w:type="pct"/>
            <w:noWrap w:val="0"/>
            <w:vAlign w:val="center"/>
          </w:tcPr>
          <w:p>
            <w:pPr>
              <w:widowControl/>
              <w:jc w:val="left"/>
              <w:textAlignment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南开大学党委常委、副校长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2480" w:type="pct"/>
            <w:noWrap w:val="0"/>
            <w:vAlign w:val="center"/>
          </w:tcPr>
          <w:p>
            <w:pPr>
              <w:widowControl/>
              <w:jc w:val="left"/>
              <w:textAlignment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大思政课导向下传统课程迭代升级策略与实践</w:t>
            </w:r>
          </w:p>
        </w:tc>
        <w:tc>
          <w:tcPr>
            <w:tcW w:w="586" w:type="pct"/>
            <w:noWrap w:val="0"/>
            <w:vAlign w:val="center"/>
          </w:tcPr>
          <w:p>
            <w:pPr>
              <w:widowControl/>
              <w:jc w:val="center"/>
              <w:textAlignment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孔祥彬</w:t>
            </w:r>
          </w:p>
        </w:tc>
        <w:tc>
          <w:tcPr>
            <w:tcW w:w="1933" w:type="pct"/>
            <w:noWrap w:val="0"/>
            <w:vAlign w:val="center"/>
          </w:tcPr>
          <w:p>
            <w:pPr>
              <w:widowControl/>
              <w:jc w:val="left"/>
              <w:textAlignment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西南交通大学力学与航空航天学院党委副书记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2480"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做一名会讲故事的教师——高校“故事育人”的实践与思考</w:t>
            </w:r>
          </w:p>
        </w:tc>
        <w:tc>
          <w:tcPr>
            <w:tcW w:w="58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于欣欣</w:t>
            </w:r>
          </w:p>
        </w:tc>
        <w:tc>
          <w:tcPr>
            <w:tcW w:w="1933"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哈尔滨工程大学航天与建筑工程学院党委书记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2480" w:type="pct"/>
            <w:noWrap w:val="0"/>
            <w:vAlign w:val="center"/>
          </w:tcPr>
          <w:p>
            <w:pPr>
              <w:widowControl/>
              <w:jc w:val="left"/>
              <w:textAlignment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“元素润人、师德育人、实践砺人”三重境界课程思政观</w:t>
            </w:r>
          </w:p>
        </w:tc>
        <w:tc>
          <w:tcPr>
            <w:tcW w:w="586" w:type="pct"/>
            <w:noWrap w:val="0"/>
            <w:vAlign w:val="center"/>
          </w:tcPr>
          <w:p>
            <w:pPr>
              <w:widowControl/>
              <w:jc w:val="center"/>
              <w:textAlignment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程湘爱</w:t>
            </w:r>
          </w:p>
        </w:tc>
        <w:tc>
          <w:tcPr>
            <w:tcW w:w="1933" w:type="pct"/>
            <w:noWrap w:val="0"/>
            <w:vAlign w:val="center"/>
          </w:tcPr>
          <w:p>
            <w:pPr>
              <w:widowControl/>
              <w:jc w:val="left"/>
              <w:textAlignment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国防科技大学教授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2480" w:type="pct"/>
            <w:noWrap w:val="0"/>
            <w:vAlign w:val="center"/>
          </w:tcPr>
          <w:p>
            <w:pPr>
              <w:widowControl/>
              <w:jc w:val="left"/>
              <w:textAlignment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警钟长鸣——师德失范行为典型案例的背后</w:t>
            </w:r>
          </w:p>
        </w:tc>
        <w:tc>
          <w:tcPr>
            <w:tcW w:w="586" w:type="pct"/>
            <w:noWrap w:val="0"/>
            <w:vAlign w:val="center"/>
          </w:tcPr>
          <w:p>
            <w:pPr>
              <w:widowControl/>
              <w:jc w:val="center"/>
              <w:textAlignment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俞黎阳</w:t>
            </w:r>
          </w:p>
        </w:tc>
        <w:tc>
          <w:tcPr>
            <w:tcW w:w="1933" w:type="pct"/>
            <w:noWrap w:val="0"/>
            <w:vAlign w:val="center"/>
          </w:tcPr>
          <w:p>
            <w:pPr>
              <w:widowControl/>
              <w:jc w:val="left"/>
              <w:textAlignment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华东师范大学纪委副书记、纪委办公室主任、监察处处长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9" w:hRule="atLeast"/>
          <w:jc w:val="center"/>
        </w:trPr>
        <w:tc>
          <w:tcPr>
            <w:tcW w:w="5000" w:type="pct"/>
            <w:gridSpan w:val="3"/>
            <w:tcBorders>
              <w:top w:val="single" w:color="auto" w:sz="4" w:space="0"/>
              <w:left w:val="single" w:color="auto" w:sz="4" w:space="0"/>
              <w:bottom w:val="single" w:color="auto" w:sz="4" w:space="0"/>
              <w:right w:val="single" w:color="auto" w:sz="4" w:space="0"/>
            </w:tcBorders>
            <w:shd w:val="clear" w:color="auto" w:fill="E6E0EC"/>
            <w:noWrap w:val="0"/>
            <w:vAlign w:val="center"/>
          </w:tcPr>
          <w:p>
            <w:pPr>
              <w:widowControl/>
              <w:jc w:val="center"/>
              <w:textAlignment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b/>
                <w:bCs/>
                <w:color w:val="000000"/>
                <w:kern w:val="0"/>
                <w:szCs w:val="21"/>
                <w:lang w:bidi="ar"/>
              </w:rPr>
              <w:t>党章党规党纪和党建实务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2480" w:type="pct"/>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学习二十大党章，严格贯彻党章</w:t>
            </w:r>
          </w:p>
        </w:tc>
        <w:tc>
          <w:tcPr>
            <w:tcW w:w="586" w:type="pct"/>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曹鹏飞</w:t>
            </w:r>
          </w:p>
        </w:tc>
        <w:tc>
          <w:tcPr>
            <w:tcW w:w="1933" w:type="pct"/>
            <w:tcBorders>
              <w:top w:val="single" w:color="auto" w:sz="4" w:space="0"/>
              <w:left w:val="nil"/>
              <w:bottom w:val="single" w:color="auto" w:sz="4" w:space="0"/>
              <w:right w:val="single" w:color="auto" w:sz="4" w:space="0"/>
            </w:tcBorders>
            <w:noWrap w:val="0"/>
            <w:vAlign w:val="center"/>
          </w:tcPr>
          <w:p>
            <w:pPr>
              <w:widowControl/>
              <w:jc w:val="left"/>
              <w:textAlignment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中共中央党校（国家行政学院）党的建设教研部教授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2480" w:type="pct"/>
            <w:noWrap w:val="0"/>
            <w:vAlign w:val="center"/>
          </w:tcPr>
          <w:p>
            <w:pPr>
              <w:widowControl/>
              <w:jc w:val="left"/>
              <w:textAlignment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认真学习贯彻《中国共产党普通高等学校基层组织工作条例》 不断提高高校党的建设质量和水平</w:t>
            </w:r>
          </w:p>
        </w:tc>
        <w:tc>
          <w:tcPr>
            <w:tcW w:w="586" w:type="pct"/>
            <w:noWrap w:val="0"/>
            <w:vAlign w:val="center"/>
          </w:tcPr>
          <w:p>
            <w:pPr>
              <w:widowControl/>
              <w:jc w:val="center"/>
              <w:textAlignment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柳李华</w:t>
            </w:r>
          </w:p>
        </w:tc>
        <w:tc>
          <w:tcPr>
            <w:tcW w:w="1933" w:type="pct"/>
            <w:noWrap w:val="0"/>
            <w:vAlign w:val="center"/>
          </w:tcPr>
          <w:p>
            <w:pPr>
              <w:widowControl/>
              <w:jc w:val="left"/>
              <w:textAlignment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中组部组织二局五处副处长、二级调研员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2480" w:type="pct"/>
            <w:noWrap w:val="0"/>
            <w:vAlign w:val="center"/>
          </w:tcPr>
          <w:p>
            <w:pPr>
              <w:widowControl/>
              <w:jc w:val="left"/>
              <w:textAlignment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深入学习贯彻《中国共产党支部工作条例（试行）》  加强党支部标准化规范化建设</w:t>
            </w:r>
          </w:p>
        </w:tc>
        <w:tc>
          <w:tcPr>
            <w:tcW w:w="586" w:type="pct"/>
            <w:noWrap w:val="0"/>
            <w:vAlign w:val="center"/>
          </w:tcPr>
          <w:p>
            <w:pPr>
              <w:widowControl/>
              <w:jc w:val="center"/>
              <w:textAlignment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王日春</w:t>
            </w:r>
          </w:p>
        </w:tc>
        <w:tc>
          <w:tcPr>
            <w:tcW w:w="1933" w:type="pct"/>
            <w:noWrap w:val="0"/>
            <w:vAlign w:val="center"/>
          </w:tcPr>
          <w:p>
            <w:pPr>
              <w:widowControl/>
              <w:jc w:val="left"/>
              <w:textAlignment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教育部直属机关党委副书记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2480" w:type="pct"/>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《中国共产党纪律处分条例》（修订）解读</w:t>
            </w:r>
          </w:p>
        </w:tc>
        <w:tc>
          <w:tcPr>
            <w:tcW w:w="586" w:type="pct"/>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刘  春</w:t>
            </w:r>
          </w:p>
        </w:tc>
        <w:tc>
          <w:tcPr>
            <w:tcW w:w="1933" w:type="pct"/>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中共中央党校（国家行政学院）教授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2480" w:type="pct"/>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高校违规违纪面面观</w:t>
            </w:r>
          </w:p>
        </w:tc>
        <w:tc>
          <w:tcPr>
            <w:tcW w:w="586" w:type="pct"/>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刘培元</w:t>
            </w:r>
          </w:p>
        </w:tc>
        <w:tc>
          <w:tcPr>
            <w:tcW w:w="1933" w:type="pct"/>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北京外国语大学党委常委、党委统战部部长、党委巡察办公室主任（兼）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2480" w:type="pct"/>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数字化改革助力高校党建质量提升</w:t>
            </w:r>
          </w:p>
        </w:tc>
        <w:tc>
          <w:tcPr>
            <w:tcW w:w="586" w:type="pct"/>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王斌锐</w:t>
            </w:r>
          </w:p>
        </w:tc>
        <w:tc>
          <w:tcPr>
            <w:tcW w:w="1933" w:type="pct"/>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中国计量大学党委委员，党委组织部（人才办）部长（主任）、统战部部长，教授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2480" w:type="pct"/>
            <w:shd w:val="clear" w:color="000000" w:fill="FFFFFF"/>
            <w:noWrap w:val="0"/>
            <w:vAlign w:val="center"/>
          </w:tcPr>
          <w:p>
            <w:pPr>
              <w:widowControl/>
              <w:jc w:val="left"/>
              <w:textAlignment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高校教师党支部书记工作方法与艺术</w:t>
            </w:r>
          </w:p>
        </w:tc>
        <w:tc>
          <w:tcPr>
            <w:tcW w:w="586" w:type="pct"/>
            <w:shd w:val="clear" w:color="000000" w:fill="FFFFFF"/>
            <w:noWrap w:val="0"/>
            <w:vAlign w:val="center"/>
          </w:tcPr>
          <w:p>
            <w:pPr>
              <w:widowControl/>
              <w:jc w:val="center"/>
              <w:textAlignment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熊玉坤</w:t>
            </w:r>
          </w:p>
        </w:tc>
        <w:tc>
          <w:tcPr>
            <w:tcW w:w="1933" w:type="pct"/>
            <w:shd w:val="clear" w:color="000000" w:fill="FFFFFF"/>
            <w:noWrap w:val="0"/>
            <w:vAlign w:val="center"/>
          </w:tcPr>
          <w:p>
            <w:pPr>
              <w:widowControl/>
              <w:jc w:val="left"/>
              <w:textAlignment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哈尔滨师范大学马克思主义学院基础教研室教工党支部书记，副教授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2480" w:type="pct"/>
            <w:shd w:val="clear" w:color="000000" w:fill="FFFFFF"/>
            <w:noWrap w:val="0"/>
            <w:vAlign w:val="center"/>
          </w:tcPr>
          <w:p>
            <w:pPr>
              <w:widowControl/>
              <w:jc w:val="left"/>
              <w:textAlignment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高校高层次人才党员发展现状、问题与工作提升策略</w:t>
            </w:r>
          </w:p>
        </w:tc>
        <w:tc>
          <w:tcPr>
            <w:tcW w:w="586" w:type="pct"/>
            <w:shd w:val="clear" w:color="000000" w:fill="FFFFFF"/>
            <w:noWrap w:val="0"/>
            <w:vAlign w:val="center"/>
          </w:tcPr>
          <w:p>
            <w:pPr>
              <w:widowControl/>
              <w:jc w:val="center"/>
              <w:textAlignment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党远鸿</w:t>
            </w:r>
          </w:p>
        </w:tc>
        <w:tc>
          <w:tcPr>
            <w:tcW w:w="1933" w:type="pct"/>
            <w:shd w:val="clear" w:color="000000" w:fill="FFFFFF"/>
            <w:noWrap w:val="0"/>
            <w:vAlign w:val="center"/>
          </w:tcPr>
          <w:p>
            <w:pPr>
              <w:widowControl/>
              <w:jc w:val="left"/>
              <w:textAlignment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华东师范大学生命科学学院党委书记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2480" w:type="pct"/>
            <w:shd w:val="clear" w:color="000000" w:fill="FFFFFF"/>
            <w:noWrap w:val="0"/>
            <w:vAlign w:val="center"/>
          </w:tcPr>
          <w:p>
            <w:pPr>
              <w:widowControl/>
              <w:jc w:val="left"/>
              <w:textAlignment w:val="center"/>
              <w:rPr>
                <w:rFonts w:hint="eastAsia" w:ascii="仿宋_GB2312" w:hAnsi="仿宋_GB2312" w:eastAsia="仿宋_GB2312" w:cs="仿宋_GB2312"/>
                <w:szCs w:val="21"/>
              </w:rPr>
            </w:pPr>
            <w:r>
              <w:rPr>
                <w:rFonts w:hint="eastAsia" w:ascii="仿宋_GB2312" w:hAnsi="仿宋_GB2312" w:eastAsia="仿宋_GB2312" w:cs="仿宋_GB2312"/>
                <w:color w:val="000000"/>
                <w:kern w:val="0"/>
                <w:szCs w:val="21"/>
                <w:lang w:bidi="ar"/>
              </w:rPr>
              <w:t>如何开好民主生活会和组织生活会</w:t>
            </w:r>
          </w:p>
        </w:tc>
        <w:tc>
          <w:tcPr>
            <w:tcW w:w="586" w:type="pct"/>
            <w:shd w:val="clear" w:color="000000" w:fill="FFFFFF"/>
            <w:noWrap w:val="0"/>
            <w:vAlign w:val="center"/>
          </w:tcPr>
          <w:p>
            <w:pPr>
              <w:widowControl/>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color w:val="000000"/>
                <w:kern w:val="0"/>
                <w:szCs w:val="21"/>
                <w:lang w:bidi="ar"/>
              </w:rPr>
              <w:t>初青松</w:t>
            </w:r>
          </w:p>
        </w:tc>
        <w:tc>
          <w:tcPr>
            <w:tcW w:w="1933" w:type="pct"/>
            <w:shd w:val="clear" w:color="000000" w:fill="FFFFFF"/>
            <w:noWrap w:val="0"/>
            <w:vAlign w:val="center"/>
          </w:tcPr>
          <w:p>
            <w:pPr>
              <w:widowControl/>
              <w:jc w:val="left"/>
              <w:textAlignment w:val="center"/>
              <w:rPr>
                <w:rFonts w:hint="eastAsia" w:ascii="仿宋_GB2312" w:hAnsi="仿宋_GB2312" w:eastAsia="仿宋_GB2312" w:cs="仿宋_GB2312"/>
                <w:szCs w:val="21"/>
              </w:rPr>
            </w:pPr>
            <w:r>
              <w:rPr>
                <w:rFonts w:hint="eastAsia" w:ascii="仿宋_GB2312" w:hAnsi="仿宋_GB2312" w:eastAsia="仿宋_GB2312" w:cs="仿宋_GB2312"/>
                <w:color w:val="000000"/>
                <w:kern w:val="0"/>
                <w:szCs w:val="21"/>
                <w:lang w:bidi="ar"/>
              </w:rPr>
              <w:t>东北大学党校常务副校长、机关党委书记、党委组织部副部长，研究员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2480" w:type="pct"/>
            <w:shd w:val="clear" w:color="000000" w:fill="FFFFFF"/>
            <w:noWrap w:val="0"/>
            <w:vAlign w:val="center"/>
          </w:tcPr>
          <w:p>
            <w:pPr>
              <w:widowControl/>
              <w:jc w:val="left"/>
              <w:textAlignment w:val="center"/>
              <w:rPr>
                <w:rFonts w:hint="eastAsia" w:ascii="仿宋_GB2312" w:hAnsi="仿宋_GB2312" w:eastAsia="仿宋_GB2312" w:cs="仿宋_GB2312"/>
                <w:kern w:val="0"/>
                <w:szCs w:val="21"/>
              </w:rPr>
            </w:pPr>
            <w:r>
              <w:rPr>
                <w:rFonts w:hint="eastAsia" w:ascii="仿宋_GB2312" w:hAnsi="仿宋_GB2312" w:eastAsia="仿宋_GB2312" w:cs="仿宋_GB2312"/>
                <w:color w:val="000000"/>
                <w:kern w:val="0"/>
                <w:szCs w:val="21"/>
                <w:lang w:bidi="ar"/>
              </w:rPr>
              <w:t>组织生活会示范案例——《学习黄大年精神，做教育教学先锋》</w:t>
            </w:r>
          </w:p>
        </w:tc>
        <w:tc>
          <w:tcPr>
            <w:tcW w:w="586" w:type="pct"/>
            <w:shd w:val="clear" w:color="000000" w:fill="FFFFFF"/>
            <w:noWrap w:val="0"/>
            <w:vAlign w:val="center"/>
          </w:tcPr>
          <w:p>
            <w:pPr>
              <w:widowControl/>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color w:val="000000"/>
                <w:kern w:val="0"/>
                <w:szCs w:val="21"/>
                <w:lang w:bidi="ar"/>
              </w:rPr>
              <w:t>姜晓东</w:t>
            </w:r>
          </w:p>
        </w:tc>
        <w:tc>
          <w:tcPr>
            <w:tcW w:w="1933" w:type="pct"/>
            <w:shd w:val="clear" w:color="000000" w:fill="FFFFFF"/>
            <w:noWrap w:val="0"/>
            <w:vAlign w:val="center"/>
          </w:tcPr>
          <w:p>
            <w:pPr>
              <w:widowControl/>
              <w:jc w:val="left"/>
              <w:textAlignment w:val="center"/>
              <w:rPr>
                <w:rFonts w:hint="eastAsia" w:ascii="仿宋_GB2312" w:hAnsi="仿宋_GB2312" w:eastAsia="仿宋_GB2312" w:cs="仿宋_GB2312"/>
                <w:b/>
                <w:bCs/>
                <w:szCs w:val="21"/>
              </w:rPr>
            </w:pPr>
            <w:r>
              <w:rPr>
                <w:rFonts w:hint="eastAsia" w:ascii="仿宋_GB2312" w:hAnsi="仿宋_GB2312" w:eastAsia="仿宋_GB2312" w:cs="仿宋_GB2312"/>
                <w:color w:val="000000"/>
                <w:kern w:val="0"/>
                <w:szCs w:val="21"/>
                <w:lang w:bidi="ar"/>
              </w:rPr>
              <w:t>华东师范大学生命科学学院生物学系教工党支部书记，教授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2480" w:type="pct"/>
            <w:shd w:val="clear" w:color="000000" w:fill="FFFFFF"/>
            <w:noWrap w:val="0"/>
            <w:vAlign w:val="center"/>
          </w:tcPr>
          <w:p>
            <w:pPr>
              <w:widowControl/>
              <w:jc w:val="left"/>
              <w:textAlignment w:val="center"/>
              <w:rPr>
                <w:rFonts w:hint="eastAsia" w:ascii="仿宋_GB2312" w:hAnsi="仿宋_GB2312" w:eastAsia="仿宋_GB2312" w:cs="仿宋_GB2312"/>
                <w:szCs w:val="21"/>
              </w:rPr>
            </w:pPr>
            <w:r>
              <w:rPr>
                <w:rFonts w:hint="eastAsia" w:ascii="仿宋_GB2312" w:hAnsi="仿宋_GB2312" w:eastAsia="仿宋_GB2312" w:cs="仿宋_GB2312"/>
                <w:color w:val="000000"/>
                <w:kern w:val="0"/>
                <w:szCs w:val="21"/>
                <w:lang w:bidi="ar"/>
              </w:rPr>
              <w:t>如何讲好一节党课</w:t>
            </w:r>
          </w:p>
        </w:tc>
        <w:tc>
          <w:tcPr>
            <w:tcW w:w="586" w:type="pct"/>
            <w:shd w:val="clear" w:color="000000" w:fill="FFFFFF"/>
            <w:noWrap w:val="0"/>
            <w:vAlign w:val="center"/>
          </w:tcPr>
          <w:p>
            <w:pPr>
              <w:widowControl/>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color w:val="000000"/>
                <w:kern w:val="0"/>
                <w:szCs w:val="21"/>
                <w:lang w:bidi="ar"/>
              </w:rPr>
              <w:t>郑  萼</w:t>
            </w:r>
          </w:p>
        </w:tc>
        <w:tc>
          <w:tcPr>
            <w:tcW w:w="1933" w:type="pct"/>
            <w:shd w:val="clear" w:color="000000" w:fill="FFFFFF"/>
            <w:noWrap w:val="0"/>
            <w:vAlign w:val="center"/>
          </w:tcPr>
          <w:p>
            <w:pPr>
              <w:widowControl/>
              <w:jc w:val="left"/>
              <w:textAlignment w:val="center"/>
              <w:rPr>
                <w:rFonts w:hint="eastAsia" w:ascii="仿宋_GB2312" w:hAnsi="仿宋_GB2312" w:eastAsia="仿宋_GB2312" w:cs="仿宋_GB2312"/>
                <w:szCs w:val="21"/>
              </w:rPr>
            </w:pPr>
            <w:r>
              <w:rPr>
                <w:rFonts w:hint="eastAsia" w:ascii="仿宋_GB2312" w:hAnsi="仿宋_GB2312" w:eastAsia="仿宋_GB2312" w:cs="仿宋_GB2312"/>
                <w:color w:val="000000"/>
                <w:kern w:val="0"/>
                <w:szCs w:val="21"/>
                <w:lang w:bidi="ar"/>
              </w:rPr>
              <w:t>首都师范大学原党委书记，北京市习近平新时代中国特色社会主义思想研究中心研究员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5000" w:type="pct"/>
            <w:gridSpan w:val="3"/>
            <w:shd w:val="clear" w:color="000000" w:fill="E6E0EC"/>
            <w:noWrap w:val="0"/>
            <w:vAlign w:val="center"/>
          </w:tcPr>
          <w:p>
            <w:pPr>
              <w:jc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b/>
                <w:bCs/>
                <w:color w:val="000000"/>
                <w:kern w:val="0"/>
                <w:szCs w:val="21"/>
                <w:lang w:bidi="ar"/>
              </w:rPr>
              <w:t>党建工作案例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2480" w:type="pct"/>
            <w:shd w:val="clear" w:color="000000" w:fill="FFFFFF"/>
            <w:noWrap w:val="0"/>
            <w:vAlign w:val="center"/>
          </w:tcPr>
          <w:p>
            <w:pPr>
              <w:widowControl/>
              <w:jc w:val="left"/>
              <w:textAlignment w:val="center"/>
              <w:rPr>
                <w:rFonts w:hint="eastAsia" w:ascii="仿宋_GB2312" w:hAnsi="仿宋_GB2312" w:eastAsia="仿宋_GB2312" w:cs="仿宋_GB2312"/>
                <w:szCs w:val="21"/>
              </w:rPr>
            </w:pPr>
            <w:r>
              <w:rPr>
                <w:rFonts w:hint="eastAsia" w:ascii="仿宋_GB2312" w:hAnsi="仿宋_GB2312" w:eastAsia="仿宋_GB2312" w:cs="仿宋_GB2312"/>
                <w:color w:val="000000"/>
                <w:kern w:val="0"/>
                <w:szCs w:val="21"/>
                <w:lang w:bidi="ar"/>
              </w:rPr>
              <w:t>坚持培根铸魂，传播中国声音——激活“党建+业务”双引擎，辐射引领教师队伍成长</w:t>
            </w:r>
          </w:p>
        </w:tc>
        <w:tc>
          <w:tcPr>
            <w:tcW w:w="586" w:type="pct"/>
            <w:shd w:val="clear" w:color="000000" w:fill="FFFFFF"/>
            <w:noWrap w:val="0"/>
            <w:vAlign w:val="center"/>
          </w:tcPr>
          <w:p>
            <w:pPr>
              <w:widowControl/>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color w:val="000000"/>
                <w:kern w:val="0"/>
                <w:szCs w:val="21"/>
                <w:lang w:bidi="ar"/>
              </w:rPr>
              <w:t>付志明</w:t>
            </w:r>
          </w:p>
        </w:tc>
        <w:tc>
          <w:tcPr>
            <w:tcW w:w="1933" w:type="pct"/>
            <w:shd w:val="clear" w:color="000000" w:fill="FFFFFF"/>
            <w:noWrap w:val="0"/>
            <w:vAlign w:val="center"/>
          </w:tcPr>
          <w:p>
            <w:pPr>
              <w:widowControl/>
              <w:jc w:val="left"/>
              <w:textAlignment w:val="center"/>
              <w:rPr>
                <w:rFonts w:hint="eastAsia" w:ascii="仿宋_GB2312" w:hAnsi="仿宋_GB2312" w:eastAsia="仿宋_GB2312" w:cs="仿宋_GB2312"/>
                <w:b/>
                <w:bCs/>
                <w:szCs w:val="21"/>
              </w:rPr>
            </w:pPr>
            <w:r>
              <w:rPr>
                <w:rFonts w:hint="eastAsia" w:ascii="仿宋_GB2312" w:hAnsi="仿宋_GB2312" w:eastAsia="仿宋_GB2312" w:cs="仿宋_GB2312"/>
                <w:b/>
                <w:bCs/>
                <w:color w:val="000000"/>
                <w:kern w:val="0"/>
                <w:szCs w:val="21"/>
                <w:lang w:bidi="ar"/>
              </w:rPr>
              <w:t>全国党建工作样板支部，</w:t>
            </w:r>
            <w:r>
              <w:rPr>
                <w:rFonts w:hint="eastAsia" w:ascii="仿宋_GB2312" w:hAnsi="仿宋_GB2312" w:eastAsia="仿宋_GB2312" w:cs="仿宋_GB2312"/>
                <w:color w:val="000000"/>
                <w:kern w:val="0"/>
                <w:szCs w:val="21"/>
                <w:lang w:bidi="ar"/>
              </w:rPr>
              <w:t>北京大学外国语学院阿拉伯语系党支部书记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2480" w:type="pct"/>
            <w:shd w:val="clear" w:color="000000" w:fill="FFFFFF"/>
            <w:noWrap w:val="0"/>
            <w:vAlign w:val="center"/>
          </w:tcPr>
          <w:p>
            <w:pPr>
              <w:widowControl/>
              <w:jc w:val="left"/>
              <w:textAlignment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“弘扬军工精神 培育党之英才 铸造国之重器”——南京理工大学药装所教师党支部军工精神育人实践探索</w:t>
            </w:r>
          </w:p>
        </w:tc>
        <w:tc>
          <w:tcPr>
            <w:tcW w:w="586" w:type="pct"/>
            <w:shd w:val="clear" w:color="000000" w:fill="FFFFFF"/>
            <w:noWrap w:val="0"/>
            <w:vAlign w:val="center"/>
          </w:tcPr>
          <w:p>
            <w:pPr>
              <w:widowControl/>
              <w:jc w:val="center"/>
              <w:textAlignment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肖正刚</w:t>
            </w:r>
          </w:p>
        </w:tc>
        <w:tc>
          <w:tcPr>
            <w:tcW w:w="1933" w:type="pct"/>
            <w:shd w:val="clear" w:color="000000" w:fill="FFFFFF"/>
            <w:noWrap w:val="0"/>
            <w:vAlign w:val="center"/>
          </w:tcPr>
          <w:p>
            <w:pPr>
              <w:widowControl/>
              <w:jc w:val="left"/>
              <w:textAlignment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b/>
                <w:bCs/>
                <w:color w:val="000000"/>
                <w:kern w:val="0"/>
                <w:szCs w:val="21"/>
                <w:lang w:bidi="ar"/>
              </w:rPr>
              <w:t>全国党建工作样板支部，</w:t>
            </w:r>
            <w:r>
              <w:rPr>
                <w:rFonts w:hint="eastAsia" w:ascii="仿宋_GB2312" w:hAnsi="仿宋_GB2312" w:eastAsia="仿宋_GB2312" w:cs="仿宋_GB2312"/>
                <w:color w:val="000000"/>
                <w:kern w:val="0"/>
                <w:szCs w:val="21"/>
                <w:lang w:bidi="ar"/>
              </w:rPr>
              <w:t>南京理工大学研究员，药装所教师党支部书记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299" w:type="dxa"/>
            <w:noWrap w:val="0"/>
            <w:vAlign w:val="center"/>
          </w:tcPr>
          <w:p>
            <w:pPr>
              <w:widowControl/>
              <w:jc w:val="left"/>
              <w:textAlignment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坚持培根铸魂，传播中国声音——激活“党建+业务”双引擎，辐射引领教师队伍成长</w:t>
            </w:r>
          </w:p>
        </w:tc>
        <w:tc>
          <w:tcPr>
            <w:tcW w:w="1016" w:type="dxa"/>
            <w:noWrap w:val="0"/>
            <w:vAlign w:val="center"/>
          </w:tcPr>
          <w:p>
            <w:pPr>
              <w:widowControl/>
              <w:jc w:val="center"/>
              <w:textAlignment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付志明</w:t>
            </w:r>
          </w:p>
        </w:tc>
        <w:tc>
          <w:tcPr>
            <w:tcW w:w="3352" w:type="dxa"/>
            <w:noWrap w:val="0"/>
            <w:vAlign w:val="center"/>
          </w:tcPr>
          <w:p>
            <w:pPr>
              <w:widowControl/>
              <w:jc w:val="left"/>
              <w:textAlignment w:val="center"/>
              <w:rPr>
                <w:rFonts w:hint="eastAsia" w:ascii="仿宋_GB2312" w:hAnsi="仿宋_GB2312" w:eastAsia="仿宋_GB2312" w:cs="仿宋_GB2312"/>
                <w:b/>
                <w:bCs/>
                <w:color w:val="000000"/>
                <w:kern w:val="0"/>
                <w:szCs w:val="21"/>
                <w:lang w:bidi="ar"/>
              </w:rPr>
            </w:pPr>
            <w:r>
              <w:rPr>
                <w:rFonts w:hint="eastAsia" w:ascii="仿宋_GB2312" w:hAnsi="仿宋_GB2312" w:eastAsia="仿宋_GB2312" w:cs="仿宋_GB2312"/>
                <w:b/>
                <w:bCs/>
                <w:color w:val="000000"/>
                <w:kern w:val="0"/>
                <w:szCs w:val="21"/>
                <w:lang w:bidi="ar"/>
              </w:rPr>
              <w:t>全国党建工作样板支部，</w:t>
            </w:r>
            <w:r>
              <w:rPr>
                <w:rFonts w:hint="eastAsia" w:ascii="仿宋_GB2312" w:hAnsi="仿宋_GB2312" w:eastAsia="仿宋_GB2312" w:cs="仿宋_GB2312"/>
                <w:color w:val="000000"/>
                <w:kern w:val="0"/>
                <w:szCs w:val="21"/>
                <w:lang w:bidi="ar"/>
              </w:rPr>
              <w:t>北京大学外国语学院阿拉伯语系党支部书记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2480" w:type="pct"/>
            <w:noWrap w:val="0"/>
            <w:vAlign w:val="center"/>
          </w:tcPr>
          <w:p>
            <w:pPr>
              <w:widowControl/>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党建与业务齐精进 科研与宣讲显特色——以华南理工大学马克思主义学院基础教研室党支部书记工作室建设为例</w:t>
            </w:r>
          </w:p>
        </w:tc>
        <w:tc>
          <w:tcPr>
            <w:tcW w:w="586" w:type="pct"/>
            <w:noWrap w:val="0"/>
            <w:vAlign w:val="center"/>
          </w:tcPr>
          <w:p>
            <w:pPr>
              <w:widowControl/>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王晓丽</w:t>
            </w:r>
          </w:p>
        </w:tc>
        <w:tc>
          <w:tcPr>
            <w:tcW w:w="1933" w:type="pct"/>
            <w:noWrap w:val="0"/>
            <w:vAlign w:val="center"/>
          </w:tcPr>
          <w:p>
            <w:pPr>
              <w:widowControl/>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b/>
                <w:bCs/>
                <w:color w:val="000000"/>
                <w:kern w:val="0"/>
                <w:szCs w:val="21"/>
                <w:lang w:bidi="ar"/>
              </w:rPr>
              <w:t>全国党建工作样板支部，</w:t>
            </w:r>
            <w:r>
              <w:rPr>
                <w:rFonts w:hint="eastAsia" w:ascii="仿宋_GB2312" w:hAnsi="仿宋_GB2312" w:eastAsia="仿宋_GB2312" w:cs="仿宋_GB2312"/>
                <w:color w:val="000000"/>
                <w:kern w:val="0"/>
                <w:szCs w:val="21"/>
                <w:lang w:bidi="ar"/>
              </w:rPr>
              <w:t>华南理工大学马克思主义学院基础教研室党支部书记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2480" w:type="pct"/>
            <w:noWrap w:val="0"/>
            <w:vAlign w:val="center"/>
          </w:tcPr>
          <w:p>
            <w:pPr>
              <w:widowControl/>
              <w:jc w:val="left"/>
              <w:textAlignment w:val="center"/>
              <w:rPr>
                <w:rFonts w:hint="eastAsia" w:ascii="仿宋_GB2312" w:hAnsi="仿宋_GB2312" w:eastAsia="仿宋_GB2312" w:cs="仿宋_GB2312"/>
                <w:szCs w:val="21"/>
              </w:rPr>
            </w:pPr>
            <w:r>
              <w:rPr>
                <w:rFonts w:hint="eastAsia" w:ascii="仿宋_GB2312" w:hAnsi="仿宋_GB2312" w:eastAsia="仿宋_GB2312" w:cs="仿宋_GB2312"/>
                <w:color w:val="000000"/>
                <w:kern w:val="0"/>
                <w:szCs w:val="21"/>
                <w:lang w:bidi="ar"/>
              </w:rPr>
              <w:t>应用型高校党建工作“三维度三融合”——全国党建样板支部的建设与实践</w:t>
            </w:r>
          </w:p>
        </w:tc>
        <w:tc>
          <w:tcPr>
            <w:tcW w:w="586" w:type="pct"/>
            <w:noWrap w:val="0"/>
            <w:vAlign w:val="center"/>
          </w:tcPr>
          <w:p>
            <w:pPr>
              <w:widowControl/>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color w:val="000000"/>
                <w:kern w:val="0"/>
                <w:szCs w:val="21"/>
                <w:lang w:bidi="ar"/>
              </w:rPr>
              <w:t>曾  俊</w:t>
            </w:r>
          </w:p>
        </w:tc>
        <w:tc>
          <w:tcPr>
            <w:tcW w:w="1933" w:type="pct"/>
            <w:noWrap w:val="0"/>
            <w:vAlign w:val="center"/>
          </w:tcPr>
          <w:p>
            <w:pPr>
              <w:widowControl/>
              <w:jc w:val="left"/>
              <w:textAlignment w:val="center"/>
              <w:rPr>
                <w:rFonts w:hint="eastAsia" w:ascii="仿宋_GB2312" w:hAnsi="仿宋_GB2312" w:eastAsia="仿宋_GB2312" w:cs="仿宋_GB2312"/>
                <w:b/>
                <w:bCs/>
                <w:szCs w:val="21"/>
              </w:rPr>
            </w:pPr>
            <w:r>
              <w:rPr>
                <w:rFonts w:hint="eastAsia" w:ascii="仿宋_GB2312" w:hAnsi="仿宋_GB2312" w:eastAsia="仿宋_GB2312" w:cs="仿宋_GB2312"/>
                <w:b/>
                <w:bCs/>
                <w:color w:val="000000"/>
                <w:kern w:val="0"/>
                <w:szCs w:val="21"/>
                <w:lang w:bidi="ar"/>
              </w:rPr>
              <w:t>全国党建工作样板支部，</w:t>
            </w:r>
            <w:r>
              <w:rPr>
                <w:rFonts w:hint="eastAsia" w:ascii="仿宋_GB2312" w:hAnsi="仿宋_GB2312" w:eastAsia="仿宋_GB2312" w:cs="仿宋_GB2312"/>
                <w:color w:val="000000"/>
                <w:kern w:val="0"/>
                <w:szCs w:val="21"/>
                <w:lang w:bidi="ar"/>
              </w:rPr>
              <w:t>长江师范学院大数据与智能工程学院大数据与物联网工程系教师党支部书记，教授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2480" w:type="pct"/>
            <w:noWrap w:val="0"/>
            <w:vAlign w:val="center"/>
          </w:tcPr>
          <w:p>
            <w:pPr>
              <w:widowControl/>
              <w:jc w:val="left"/>
              <w:textAlignment w:val="center"/>
              <w:rPr>
                <w:rFonts w:hint="eastAsia" w:ascii="仿宋_GB2312" w:hAnsi="仿宋_GB2312" w:eastAsia="仿宋_GB2312" w:cs="仿宋_GB2312"/>
                <w:szCs w:val="21"/>
              </w:rPr>
            </w:pPr>
            <w:r>
              <w:rPr>
                <w:rFonts w:hint="eastAsia" w:ascii="仿宋_GB2312" w:hAnsi="仿宋_GB2312" w:eastAsia="仿宋_GB2312" w:cs="仿宋_GB2312"/>
                <w:color w:val="000000"/>
                <w:kern w:val="0"/>
                <w:szCs w:val="21"/>
                <w:lang w:bidi="ar"/>
              </w:rPr>
              <w:t>拓展“双带头人”教师党支部书记工作室建设方法，助推支部各项工作开展</w:t>
            </w:r>
          </w:p>
        </w:tc>
        <w:tc>
          <w:tcPr>
            <w:tcW w:w="586" w:type="pct"/>
            <w:noWrap w:val="0"/>
            <w:vAlign w:val="center"/>
          </w:tcPr>
          <w:p>
            <w:pPr>
              <w:widowControl/>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color w:val="000000"/>
                <w:kern w:val="0"/>
                <w:szCs w:val="21"/>
                <w:lang w:bidi="ar"/>
              </w:rPr>
              <w:t>付  华</w:t>
            </w:r>
          </w:p>
        </w:tc>
        <w:tc>
          <w:tcPr>
            <w:tcW w:w="1933" w:type="pct"/>
            <w:noWrap w:val="0"/>
            <w:vAlign w:val="center"/>
          </w:tcPr>
          <w:p>
            <w:pPr>
              <w:widowControl/>
              <w:jc w:val="left"/>
              <w:textAlignment w:val="center"/>
              <w:rPr>
                <w:rFonts w:hint="eastAsia" w:ascii="仿宋_GB2312" w:hAnsi="仿宋_GB2312" w:eastAsia="仿宋_GB2312" w:cs="仿宋_GB2312"/>
                <w:szCs w:val="21"/>
              </w:rPr>
            </w:pPr>
            <w:r>
              <w:rPr>
                <w:rFonts w:hint="eastAsia" w:ascii="仿宋_GB2312" w:hAnsi="仿宋_GB2312" w:eastAsia="仿宋_GB2312" w:cs="仿宋_GB2312"/>
                <w:b/>
                <w:bCs/>
                <w:color w:val="000000"/>
                <w:kern w:val="0"/>
                <w:szCs w:val="21"/>
                <w:lang w:bidi="ar"/>
              </w:rPr>
              <w:t>全国党建工作样板支部，</w:t>
            </w:r>
            <w:r>
              <w:rPr>
                <w:rFonts w:hint="eastAsia" w:ascii="仿宋_GB2312" w:hAnsi="仿宋_GB2312" w:eastAsia="仿宋_GB2312" w:cs="仿宋_GB2312"/>
                <w:color w:val="000000"/>
                <w:kern w:val="0"/>
                <w:szCs w:val="21"/>
                <w:lang w:bidi="ar"/>
              </w:rPr>
              <w:t>青海大学化工学院化学工程系教工党支部书记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5000" w:type="pct"/>
            <w:gridSpan w:val="3"/>
            <w:shd w:val="clear" w:color="auto" w:fill="E6E0EC"/>
            <w:noWrap w:val="0"/>
            <w:vAlign w:val="center"/>
          </w:tcPr>
          <w:p>
            <w:pPr>
              <w:jc w:val="center"/>
              <w:textAlignment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b/>
                <w:bCs/>
                <w:color w:val="000000"/>
                <w:kern w:val="0"/>
                <w:szCs w:val="21"/>
                <w:lang w:bidi="ar"/>
              </w:rPr>
              <w:t>双一流建设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2480" w:type="pct"/>
            <w:noWrap w:val="0"/>
            <w:vAlign w:val="center"/>
          </w:tcPr>
          <w:p>
            <w:pPr>
              <w:widowControl/>
              <w:jc w:val="left"/>
              <w:textAlignment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双一流建设与教育强国战略</w:t>
            </w:r>
          </w:p>
        </w:tc>
        <w:tc>
          <w:tcPr>
            <w:tcW w:w="586" w:type="pct"/>
            <w:noWrap w:val="0"/>
            <w:vAlign w:val="center"/>
          </w:tcPr>
          <w:p>
            <w:pPr>
              <w:widowControl/>
              <w:jc w:val="center"/>
              <w:textAlignment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高书国</w:t>
            </w:r>
          </w:p>
        </w:tc>
        <w:tc>
          <w:tcPr>
            <w:tcW w:w="1933" w:type="pct"/>
            <w:noWrap w:val="0"/>
            <w:vAlign w:val="center"/>
          </w:tcPr>
          <w:p>
            <w:pPr>
              <w:widowControl/>
              <w:jc w:val="left"/>
              <w:textAlignment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中国教育学会副秘书长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2480" w:type="pct"/>
            <w:noWrap w:val="0"/>
            <w:vAlign w:val="center"/>
          </w:tcPr>
          <w:p>
            <w:pPr>
              <w:widowControl/>
              <w:jc w:val="left"/>
              <w:textAlignment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奋进新时代 一起向未来——走出一条中国特色世界一流大学建设新路</w:t>
            </w:r>
          </w:p>
        </w:tc>
        <w:tc>
          <w:tcPr>
            <w:tcW w:w="586" w:type="pct"/>
            <w:noWrap w:val="0"/>
            <w:vAlign w:val="center"/>
          </w:tcPr>
          <w:p>
            <w:pPr>
              <w:widowControl/>
              <w:jc w:val="center"/>
              <w:textAlignment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顾永红</w:t>
            </w:r>
          </w:p>
        </w:tc>
        <w:tc>
          <w:tcPr>
            <w:tcW w:w="1933" w:type="pct"/>
            <w:noWrap w:val="0"/>
            <w:vAlign w:val="center"/>
          </w:tcPr>
          <w:p>
            <w:pPr>
              <w:widowControl/>
              <w:jc w:val="left"/>
              <w:textAlignment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东南大学党委常委、宣传部长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2480" w:type="pct"/>
            <w:noWrap w:val="0"/>
            <w:vAlign w:val="center"/>
          </w:tcPr>
          <w:p>
            <w:pPr>
              <w:widowControl/>
              <w:jc w:val="left"/>
              <w:textAlignment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一流学院治理与一流专业建设</w:t>
            </w:r>
          </w:p>
        </w:tc>
        <w:tc>
          <w:tcPr>
            <w:tcW w:w="586" w:type="pct"/>
            <w:noWrap w:val="0"/>
            <w:vAlign w:val="center"/>
          </w:tcPr>
          <w:p>
            <w:pPr>
              <w:widowControl/>
              <w:jc w:val="center"/>
              <w:textAlignment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巫世晶</w:t>
            </w:r>
          </w:p>
        </w:tc>
        <w:tc>
          <w:tcPr>
            <w:tcW w:w="1933" w:type="pct"/>
            <w:noWrap w:val="0"/>
            <w:vAlign w:val="center"/>
          </w:tcPr>
          <w:p>
            <w:pPr>
              <w:widowControl/>
              <w:jc w:val="left"/>
              <w:textAlignment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武汉大学发展规划与学科建设办公室主任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2480" w:type="pct"/>
            <w:noWrap w:val="0"/>
            <w:vAlign w:val="center"/>
          </w:tcPr>
          <w:p>
            <w:pPr>
              <w:widowControl/>
              <w:jc w:val="left"/>
              <w:textAlignment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以一流党建引领一流学科发展</w:t>
            </w:r>
          </w:p>
        </w:tc>
        <w:tc>
          <w:tcPr>
            <w:tcW w:w="586" w:type="pct"/>
            <w:noWrap w:val="0"/>
            <w:vAlign w:val="center"/>
          </w:tcPr>
          <w:p>
            <w:pPr>
              <w:widowControl/>
              <w:jc w:val="center"/>
              <w:textAlignment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蔡真亮</w:t>
            </w:r>
          </w:p>
        </w:tc>
        <w:tc>
          <w:tcPr>
            <w:tcW w:w="1933" w:type="pct"/>
            <w:noWrap w:val="0"/>
            <w:vAlign w:val="center"/>
          </w:tcPr>
          <w:p>
            <w:pPr>
              <w:widowControl/>
              <w:jc w:val="left"/>
              <w:textAlignment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宁波大学海洋学院党委书记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2480" w:type="pct"/>
            <w:noWrap w:val="0"/>
            <w:vAlign w:val="center"/>
          </w:tcPr>
          <w:p>
            <w:pPr>
              <w:widowControl/>
              <w:jc w:val="left"/>
              <w:textAlignment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交叉融合型一流学科建设探索与实践——以中国矿业大学为例</w:t>
            </w:r>
          </w:p>
        </w:tc>
        <w:tc>
          <w:tcPr>
            <w:tcW w:w="586" w:type="pct"/>
            <w:noWrap w:val="0"/>
            <w:vAlign w:val="center"/>
          </w:tcPr>
          <w:p>
            <w:pPr>
              <w:widowControl/>
              <w:jc w:val="center"/>
              <w:textAlignment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秦波涛</w:t>
            </w:r>
          </w:p>
        </w:tc>
        <w:tc>
          <w:tcPr>
            <w:tcW w:w="1933" w:type="pct"/>
            <w:noWrap w:val="0"/>
            <w:vAlign w:val="center"/>
          </w:tcPr>
          <w:p>
            <w:pPr>
              <w:widowControl/>
              <w:jc w:val="left"/>
              <w:textAlignment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中国矿业大学学科建设处处长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5000" w:type="pct"/>
            <w:gridSpan w:val="3"/>
            <w:shd w:val="clear" w:color="auto" w:fill="E6E0EC"/>
            <w:noWrap w:val="0"/>
            <w:vAlign w:val="center"/>
          </w:tcPr>
          <w:p>
            <w:pPr>
              <w:jc w:val="center"/>
              <w:textAlignment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b/>
                <w:bCs/>
                <w:color w:val="000000"/>
                <w:kern w:val="0"/>
                <w:szCs w:val="21"/>
                <w:lang w:bidi="ar"/>
              </w:rPr>
              <w:t>个人成长与追求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2480" w:type="pct"/>
            <w:noWrap w:val="0"/>
            <w:vAlign w:val="center"/>
          </w:tcPr>
          <w:p>
            <w:pPr>
              <w:widowControl/>
              <w:jc w:val="left"/>
              <w:textAlignment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新时代高校教师的精神追求和能力提升</w:t>
            </w:r>
          </w:p>
        </w:tc>
        <w:tc>
          <w:tcPr>
            <w:tcW w:w="586" w:type="pct"/>
            <w:noWrap w:val="0"/>
            <w:vAlign w:val="center"/>
          </w:tcPr>
          <w:p>
            <w:pPr>
              <w:widowControl/>
              <w:jc w:val="center"/>
              <w:textAlignment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傅钢善</w:t>
            </w:r>
          </w:p>
        </w:tc>
        <w:tc>
          <w:tcPr>
            <w:tcW w:w="1933" w:type="pct"/>
            <w:noWrap w:val="0"/>
            <w:vAlign w:val="center"/>
          </w:tcPr>
          <w:p>
            <w:pPr>
              <w:widowControl/>
              <w:jc w:val="left"/>
              <w:textAlignment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陕西师范大学教授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2480" w:type="pct"/>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沟通艺术与领导力提升</w:t>
            </w:r>
          </w:p>
        </w:tc>
        <w:tc>
          <w:tcPr>
            <w:tcW w:w="586" w:type="pct"/>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张光生</w:t>
            </w:r>
          </w:p>
        </w:tc>
        <w:tc>
          <w:tcPr>
            <w:tcW w:w="1933" w:type="pct"/>
            <w:tcBorders>
              <w:top w:val="single" w:color="auto" w:sz="4" w:space="0"/>
              <w:left w:val="nil"/>
              <w:bottom w:val="single" w:color="auto" w:sz="4" w:space="0"/>
              <w:right w:val="single" w:color="auto" w:sz="4" w:space="0"/>
            </w:tcBorders>
            <w:noWrap w:val="0"/>
            <w:vAlign w:val="center"/>
          </w:tcPr>
          <w:p>
            <w:pPr>
              <w:widowControl/>
              <w:jc w:val="left"/>
              <w:textAlignment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江南大学校长助理、环境科学与工程系教授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2480" w:type="pct"/>
            <w:noWrap w:val="0"/>
            <w:vAlign w:val="center"/>
          </w:tcPr>
          <w:p>
            <w:pPr>
              <w:widowControl/>
              <w:jc w:val="left"/>
              <w:textAlignment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亲密关系与幸福人生</w:t>
            </w:r>
          </w:p>
        </w:tc>
        <w:tc>
          <w:tcPr>
            <w:tcW w:w="586" w:type="pct"/>
            <w:noWrap w:val="0"/>
            <w:vAlign w:val="center"/>
          </w:tcPr>
          <w:p>
            <w:pPr>
              <w:widowControl/>
              <w:jc w:val="center"/>
              <w:textAlignment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李  焰</w:t>
            </w:r>
          </w:p>
        </w:tc>
        <w:tc>
          <w:tcPr>
            <w:tcW w:w="1933" w:type="pct"/>
            <w:noWrap w:val="0"/>
            <w:vAlign w:val="center"/>
          </w:tcPr>
          <w:p>
            <w:pPr>
              <w:widowControl/>
              <w:jc w:val="left"/>
              <w:textAlignment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清华大学学生心理发展指导中心主任、教授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2480" w:type="pct"/>
            <w:noWrap w:val="0"/>
            <w:vAlign w:val="center"/>
          </w:tcPr>
          <w:p>
            <w:pPr>
              <w:widowControl/>
              <w:jc w:val="left"/>
              <w:textAlignment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压力与睡眠健康管理</w:t>
            </w:r>
          </w:p>
        </w:tc>
        <w:tc>
          <w:tcPr>
            <w:tcW w:w="586" w:type="pct"/>
            <w:noWrap w:val="0"/>
            <w:vAlign w:val="center"/>
          </w:tcPr>
          <w:p>
            <w:pPr>
              <w:widowControl/>
              <w:jc w:val="center"/>
              <w:textAlignment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王  健</w:t>
            </w:r>
          </w:p>
        </w:tc>
        <w:tc>
          <w:tcPr>
            <w:tcW w:w="1933" w:type="pct"/>
            <w:noWrap w:val="0"/>
            <w:vAlign w:val="center"/>
          </w:tcPr>
          <w:p>
            <w:pPr>
              <w:widowControl/>
              <w:jc w:val="left"/>
              <w:textAlignment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中国中医科学院广安门医院心理科（睡眠科）主任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2480" w:type="pct"/>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破解高校科研与教学矛盾的学术之道</w:t>
            </w:r>
          </w:p>
        </w:tc>
        <w:tc>
          <w:tcPr>
            <w:tcW w:w="586" w:type="pct"/>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桑新民</w:t>
            </w:r>
          </w:p>
        </w:tc>
        <w:tc>
          <w:tcPr>
            <w:tcW w:w="1933" w:type="pct"/>
            <w:tcBorders>
              <w:top w:val="single" w:color="auto" w:sz="4" w:space="0"/>
              <w:left w:val="nil"/>
              <w:bottom w:val="single" w:color="auto" w:sz="4" w:space="0"/>
              <w:right w:val="single" w:color="auto" w:sz="4" w:space="0"/>
            </w:tcBorders>
            <w:noWrap w:val="0"/>
            <w:vAlign w:val="center"/>
          </w:tcPr>
          <w:p>
            <w:pPr>
              <w:widowControl/>
              <w:jc w:val="left"/>
              <w:textAlignment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南京大学教授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2480" w:type="pct"/>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教学名师谈成长——快乐工作，与梦飞翔</w:t>
            </w:r>
          </w:p>
        </w:tc>
        <w:tc>
          <w:tcPr>
            <w:tcW w:w="586" w:type="pct"/>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吴  敏</w:t>
            </w:r>
          </w:p>
        </w:tc>
        <w:tc>
          <w:tcPr>
            <w:tcW w:w="1933" w:type="pct"/>
            <w:tcBorders>
              <w:top w:val="single" w:color="auto" w:sz="4" w:space="0"/>
              <w:left w:val="nil"/>
              <w:bottom w:val="single" w:color="auto" w:sz="4" w:space="0"/>
              <w:right w:val="single" w:color="auto" w:sz="4" w:space="0"/>
            </w:tcBorders>
            <w:noWrap w:val="0"/>
            <w:vAlign w:val="center"/>
          </w:tcPr>
          <w:p>
            <w:pPr>
              <w:widowControl/>
              <w:jc w:val="left"/>
              <w:textAlignment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浙江大学教授</w:t>
            </w:r>
          </w:p>
        </w:tc>
      </w:tr>
      <w:bookmarkEnd w:id="0"/>
    </w:tbl>
    <w:p>
      <w:pPr>
        <w:snapToGrid w:val="0"/>
        <w:rPr>
          <w:rFonts w:ascii="楷体" w:hAnsi="楷体" w:eastAsia="楷体" w:cs="仿宋"/>
          <w:color w:val="000000"/>
          <w:sz w:val="24"/>
        </w:rPr>
      </w:pPr>
      <w:r>
        <w:rPr>
          <w:rFonts w:ascii="楷体" w:hAnsi="楷体" w:eastAsia="楷体" w:cs="仿宋"/>
          <w:color w:val="000000"/>
          <w:sz w:val="24"/>
        </w:rPr>
        <w:t>说明</w:t>
      </w:r>
      <w:r>
        <w:rPr>
          <w:rFonts w:hint="eastAsia" w:ascii="楷体" w:hAnsi="楷体" w:eastAsia="楷体" w:cs="仿宋"/>
          <w:color w:val="000000"/>
          <w:sz w:val="24"/>
        </w:rPr>
        <w:t>：</w:t>
      </w:r>
      <w:r>
        <w:rPr>
          <w:rFonts w:eastAsia="楷体"/>
          <w:color w:val="000000"/>
          <w:sz w:val="24"/>
        </w:rPr>
        <w:t>1</w:t>
      </w:r>
      <w:r>
        <w:rPr>
          <w:rFonts w:hint="eastAsia" w:ascii="仿宋_GB2312" w:eastAsia="仿宋_GB2312"/>
          <w:color w:val="000000"/>
          <w:sz w:val="24"/>
        </w:rPr>
        <w:t>.</w:t>
      </w:r>
      <w:r>
        <w:rPr>
          <w:rFonts w:hint="eastAsia" w:ascii="楷体" w:hAnsi="楷体" w:eastAsia="楷体" w:cs="仿宋"/>
          <w:color w:val="000000"/>
          <w:sz w:val="24"/>
        </w:rPr>
        <w:t>个别课程或稍有调整，请以平台最终发布课程为准；</w:t>
      </w:r>
    </w:p>
    <w:p>
      <w:pPr>
        <w:ind w:firstLine="720" w:firstLineChars="300"/>
        <w:rPr>
          <w:rFonts w:eastAsia="方正小标宋简体"/>
          <w:color w:val="000000"/>
          <w:szCs w:val="21"/>
        </w:rPr>
      </w:pPr>
      <w:r>
        <w:rPr>
          <w:rFonts w:eastAsia="楷体"/>
          <w:color w:val="000000"/>
          <w:sz w:val="24"/>
        </w:rPr>
        <w:t>2</w:t>
      </w:r>
      <w:r>
        <w:rPr>
          <w:rFonts w:hint="eastAsia" w:ascii="仿宋_GB2312" w:eastAsia="仿宋_GB2312"/>
          <w:color w:val="000000"/>
          <w:sz w:val="24"/>
        </w:rPr>
        <w:t>.</w:t>
      </w:r>
      <w:r>
        <w:rPr>
          <w:rFonts w:ascii="楷体" w:hAnsi="楷体" w:eastAsia="楷体" w:cs="仿宋"/>
          <w:color w:val="000000"/>
          <w:sz w:val="24"/>
        </w:rPr>
        <w:t>课程主讲人职务为课程录制时的职务</w:t>
      </w:r>
      <w:r>
        <w:rPr>
          <w:rFonts w:hint="eastAsia" w:ascii="楷体" w:hAnsi="楷体" w:eastAsia="楷体" w:cs="仿宋"/>
          <w:color w:val="000000"/>
          <w:sz w:val="24"/>
        </w:rPr>
        <w:t>。</w:t>
      </w:r>
    </w:p>
    <w:p>
      <w:bookmarkStart w:id="1" w:name="_GoBack"/>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script"/>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ViZjAzZWE1ZWRkMTE1YWEzZjc4Y2Y0YzQwOGQ0NDkifQ=="/>
  </w:docVars>
  <w:rsids>
    <w:rsidRoot w:val="00000000"/>
    <w:rsid w:val="08C32663"/>
    <w:rsid w:val="69FE434F"/>
    <w:rsid w:val="7D9447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2">
    <w:name w:val="heading 1"/>
    <w:basedOn w:val="1"/>
    <w:next w:val="1"/>
    <w:qFormat/>
    <w:uiPriority w:val="9"/>
    <w:pPr>
      <w:keepNext/>
      <w:keepLines/>
      <w:spacing w:before="340" w:after="330" w:line="578" w:lineRule="auto"/>
      <w:outlineLvl w:val="0"/>
    </w:pPr>
    <w:rPr>
      <w:b/>
      <w:bCs/>
      <w:kern w:val="44"/>
      <w:sz w:val="32"/>
      <w:szCs w:val="44"/>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2023-09-18T05:22:00Z</dcterms:created>
  <dc:creator>Administrator</dc:creator>
  <cp:lastModifiedBy>一叶编舟</cp:lastModifiedBy>
  <dcterms:modified xsi:type="dcterms:W3CDTF">2023-09-18T05:41:30Z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1B3F6126927349ABA796524A30B221F5_12</vt:lpwstr>
  </property>
</Properties>
</file>