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eastAsia="黑体"/>
        </w:rPr>
      </w:pPr>
      <w:r>
        <w:rPr>
          <w:rFonts w:hint="eastAsia" w:eastAsia="黑体"/>
          <w:szCs w:val="32"/>
        </w:rPr>
        <w:t>附件1</w:t>
      </w:r>
    </w:p>
    <w:p>
      <w:pPr>
        <w:snapToGrid w:val="0"/>
        <w:ind w:firstLine="600" w:firstLineChars="200"/>
        <w:jc w:val="center"/>
        <w:rPr>
          <w:rFonts w:ascii="方正小标宋简体" w:hAnsi="方正小标宋简体" w:eastAsia="方正小标宋简体" w:cs="方正小标宋简体"/>
          <w:bCs/>
          <w:color w:val="000000"/>
          <w:sz w:val="30"/>
          <w:szCs w:val="30"/>
        </w:rPr>
      </w:pPr>
      <w:bookmarkStart w:id="0" w:name="_Hlk82683497"/>
      <w:r>
        <w:rPr>
          <w:rFonts w:hint="eastAsia" w:ascii="方正小标宋简体" w:hAnsi="方正小标宋简体" w:eastAsia="方正小标宋简体" w:cs="方正小标宋简体"/>
          <w:bCs/>
          <w:color w:val="000000"/>
          <w:sz w:val="30"/>
          <w:szCs w:val="30"/>
        </w:rPr>
        <w:t>教师党支部书记班网络培训课程表</w:t>
      </w:r>
    </w:p>
    <w:tbl>
      <w:tblPr>
        <w:tblStyle w:val="3"/>
        <w:tblpPr w:leftFromText="180" w:rightFromText="180" w:vertAnchor="text" w:horzAnchor="page" w:tblpXSpec="center" w:tblpY="471"/>
        <w:tblOverlap w:val="never"/>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1016"/>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2480" w:type="pct"/>
            <w:noWrap/>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课程名称</w:t>
            </w:r>
          </w:p>
        </w:tc>
        <w:tc>
          <w:tcPr>
            <w:tcW w:w="586" w:type="pct"/>
            <w:noWrap/>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主讲人</w:t>
            </w:r>
          </w:p>
        </w:tc>
        <w:tc>
          <w:tcPr>
            <w:tcW w:w="1933" w:type="pct"/>
            <w:noWrap/>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auto" w:fill="E6E0EC"/>
            <w:noWrap w:val="0"/>
            <w:vAlign w:val="center"/>
          </w:tcPr>
          <w:p>
            <w:pPr>
              <w:widowControl/>
              <w:jc w:val="center"/>
              <w:textAlignment w:val="center"/>
              <w:rPr>
                <w:rFonts w:hint="eastAsia"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 w:val="24"/>
                <w:szCs w:val="24"/>
                <w:lang w:bidi="ar"/>
              </w:rPr>
              <w:t>习近平新时代中国特色社会主义思想和党的二十大精神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习近平新时代中国特色社会主义思想的世界观和方法论</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辛向阳</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中国社会科学院马克思主义研究院党委书记、副院长，教授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认真学习党的二十大精神，开辟马克思主义中国化时代化新境界</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春</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全面学习把握落实党的二十大精神</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  力</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国家教育咨询委员会秘书长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深入学习贯彻党的二十大精神 深刻把握 “两个确立”坚决做到“两个维护”</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顾海良</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把握内在机理  坚持理论创新  不断推进马克思主义中国化时代化</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董振华</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中共中央党校（国家行政学院）哲学教研部副主任、教授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学习贯彻党的二十大精神 以习近平总书记教育工作重要论述为指导 全面推进学校高质量办学</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张志勇</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北京师范大学中国教育政策研究院执行院长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实施教育数字化战略行动 促进教育高质量发展</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杨宗凯</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武汉理工大学校长，教授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auto" w:fill="E6E0EC"/>
            <w:noWrap w:val="0"/>
            <w:vAlign w:val="center"/>
          </w:tcPr>
          <w:p>
            <w:pPr>
              <w:widowControl/>
              <w:adjustRightInd w:val="0"/>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高等教育高质量发展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如何建设高质量教育体系</w:t>
            </w:r>
          </w:p>
        </w:tc>
        <w:tc>
          <w:tcPr>
            <w:tcW w:w="586" w:type="pct"/>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高书国</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中国教育学会副秘书长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推进高校事业高质量发展</w:t>
            </w:r>
          </w:p>
        </w:tc>
        <w:tc>
          <w:tcPr>
            <w:tcW w:w="586" w:type="pct"/>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王树国</w:t>
            </w:r>
          </w:p>
        </w:tc>
        <w:tc>
          <w:tcPr>
            <w:tcW w:w="1933"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西安交通大学校长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实施教育数字化战略行动 促进教育高质量发展</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杨宗凯</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武汉理工大学校长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推动高校思政工作高质量发展</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陈郭华</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教育部思想政治工作司宣传教育处处长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auto" w:fill="E6E0EC"/>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思想政治工作和师德师风建设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树立“大思政课”观 推动新时代思政课高质量发展</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王新生</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南开大学党委常委、副校长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大思政课导向下传统课程迭代升级策略与实践</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孔祥彬</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西南交通大学力学与航空航天学院党委副书记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做一名会讲故事的教师——高校“故事育人”的实践与思考</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于欣欣</w:t>
            </w:r>
          </w:p>
        </w:tc>
        <w:tc>
          <w:tcPr>
            <w:tcW w:w="193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哈尔滨工程大学航天与建筑工程学院党委书记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“元素润人、师德育人、实践砺人”三重境界课程思政观</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程湘爱</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国防科技大学教授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警钟长鸣——师德失范行为典型案例的背后</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俞黎阳</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华东师范大学纪委副书记、纪委办公室主任、监察处处长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E6E0EC"/>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党章党规党纪和党建实务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学习二十大党章，严格贯彻党章</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曹鹏飞</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中共中央党校（国家行政学院）党的建设教研部教授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认真学习贯彻《中国共产党普通高等学校基层组织工作条例》 不断提高高校党的建设质量和水平</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柳李华</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中组部组织二局五处副处长、二级调研员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深入学习贯彻《中国共产党支部工作条例（试行）》  加强党支部标准化规范化建设</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王日春</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教育部直属机关党委副书记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《中国共产党纪律处分条例》（修订）解读</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  春</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高校违规违纪面面观</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刘培元</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北京外国语大学党委常委、党委统战部部长、党委巡察办公室主任（兼）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数字化改革助力高校党建质量提升</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王斌锐</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中国计量大学党委委员，党委组织部（人才办）部长（主任）、统战部部长，教授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高校教师党支部书记工作方法与艺术</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熊玉坤</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哈尔滨师范大学马克思主义学院基础教研室教工党支部书记，副教授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高校高层次人才党员发展现状、问题与工作提升策略</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党远鸿</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华东师范大学生命科学学院党委书记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如何开好民主生活会和组织生活会</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初青松</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东北大学党校常务副校长、机关党委书记、党委组织部副部长，研究员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组织生活会示范案例——《学习黄大年精神，做教育教学先锋》</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姜晓东</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b/>
                <w:bCs/>
                <w:szCs w:val="21"/>
              </w:rPr>
            </w:pPr>
            <w:r>
              <w:rPr>
                <w:rFonts w:hint="eastAsia" w:ascii="仿宋_GB2312" w:hAnsi="仿宋_GB2312" w:eastAsia="仿宋_GB2312" w:cs="仿宋_GB2312"/>
                <w:color w:val="000000"/>
                <w:kern w:val="0"/>
                <w:szCs w:val="21"/>
                <w:lang w:bidi="ar"/>
              </w:rPr>
              <w:t>华东师范大学生命科学学院生物学系教工党支部书记，教授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如何讲好一节党课</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郑  萼</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首都师范大学原党委书记，北京市习近平新时代中国特色社会主义思想研究中心研究员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000000" w:fill="E6E0EC"/>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党建工作案例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坚持培根铸魂，传播中国声音——激活“党建+业务”双引擎，辐射引领教师队伍成长</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付志明</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北京大学外国语学院阿拉伯语系党支部书记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“弘扬军工精神 培育党之英才 铸造国之重器”——南京理工大学药装所教师党支部军工精神育人实践探索</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肖正刚</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南京理工大学研究员，药装所教师党支部书记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99" w:type="dxa"/>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坚持培根铸魂，传播中国声音——激活“党建+业务”双引擎，辐射引领教师队伍成长</w:t>
            </w:r>
          </w:p>
        </w:tc>
        <w:tc>
          <w:tcPr>
            <w:tcW w:w="1016" w:type="dxa"/>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付志明</w:t>
            </w:r>
          </w:p>
        </w:tc>
        <w:tc>
          <w:tcPr>
            <w:tcW w:w="3352" w:type="dxa"/>
            <w:noWrap w:val="0"/>
            <w:vAlign w:val="center"/>
          </w:tcPr>
          <w:p>
            <w:pPr>
              <w:widowControl/>
              <w:jc w:val="left"/>
              <w:textAlignment w:val="center"/>
              <w:rPr>
                <w:rFonts w:hint="eastAsia"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北京大学外国语学院阿拉伯语系党支部书记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党建与业务齐精进 科研与宣讲显特色——以华南理工大学马克思主义学院基础教研室党支部书记工作室建设为例</w:t>
            </w:r>
          </w:p>
        </w:tc>
        <w:tc>
          <w:tcPr>
            <w:tcW w:w="586" w:type="pct"/>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王晓丽</w:t>
            </w:r>
          </w:p>
        </w:tc>
        <w:tc>
          <w:tcPr>
            <w:tcW w:w="1933" w:type="pct"/>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华南理工大学马克思主义学院基础教研室党支部书记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应用型高校党建工作“三维度三融合”——全国党建样板支部的建设与实践</w:t>
            </w:r>
          </w:p>
        </w:tc>
        <w:tc>
          <w:tcPr>
            <w:tcW w:w="586" w:type="pct"/>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曾  俊</w:t>
            </w:r>
          </w:p>
        </w:tc>
        <w:tc>
          <w:tcPr>
            <w:tcW w:w="1933" w:type="pct"/>
            <w:noWrap w:val="0"/>
            <w:vAlign w:val="center"/>
          </w:tcPr>
          <w:p>
            <w:pPr>
              <w:widowControl/>
              <w:jc w:val="left"/>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长江师范学院大数据与智能工程学院大数据与物联网工程系教师党支部书记，教授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拓展“双带头人”教师党支部书记工作室建设方法，助推支部各项工作开展</w:t>
            </w:r>
          </w:p>
        </w:tc>
        <w:tc>
          <w:tcPr>
            <w:tcW w:w="586" w:type="pct"/>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付  华</w:t>
            </w:r>
          </w:p>
        </w:tc>
        <w:tc>
          <w:tcPr>
            <w:tcW w:w="1933"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青海大学化工学院化学工程系教工党支部书记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auto" w:fill="E6E0EC"/>
            <w:noWrap w:val="0"/>
            <w:vAlign w:val="center"/>
          </w:tcPr>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双一流建设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双一流建设与教育强国战略</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高书国</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中国教育学会副秘书长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奋进新时代 一起向未来——走出一条中国特色世界一流大学建设新路</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顾永红</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东南大学党委常委、宣传部长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一流学院治理与一流专业建设</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巫世晶</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武汉大学发展规划与学科建设办公室主任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以一流党建引领一流学科发展</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蔡真亮</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宁波大学海洋学院党委书记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交叉融合型一流学科建设探索与实践——以中国矿业大学为例</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秦波涛</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中国矿业大学学科建设处处长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auto" w:fill="E6E0EC"/>
            <w:noWrap w:val="0"/>
            <w:vAlign w:val="center"/>
          </w:tcPr>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个人成长与追求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新时代高校教师的精神追求和能力提升</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傅钢善</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陕西师范大学教授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沟通艺术与领导力提升</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张光生</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江南大学校长助理、环境科学与工程系教授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亲密关系与幸福人生</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  焰</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清华大学学生心理发展指导中心主任、教授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压力与睡眠健康管理</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  健</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中国中医科学院广安门医院心理科（睡眠科）主任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破解高校科研与教学矛盾的学术之道</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桑新民</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南京大学教授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教学名师谈成长——快乐工作，与梦飞翔</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吴  敏</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浙江大学教授</w:t>
            </w:r>
          </w:p>
        </w:tc>
      </w:tr>
      <w:bookmarkEnd w:id="0"/>
    </w:tbl>
    <w:p>
      <w:pPr>
        <w:snapToGrid w:val="0"/>
        <w:rPr>
          <w:rFonts w:ascii="楷体" w:hAnsi="楷体" w:eastAsia="楷体" w:cs="仿宋"/>
          <w:color w:val="000000"/>
          <w:sz w:val="24"/>
        </w:rPr>
      </w:pPr>
      <w:r>
        <w:rPr>
          <w:rFonts w:ascii="楷体" w:hAnsi="楷体" w:eastAsia="楷体" w:cs="仿宋"/>
          <w:color w:val="000000"/>
          <w:sz w:val="24"/>
        </w:rPr>
        <w:t>说明</w:t>
      </w:r>
      <w:r>
        <w:rPr>
          <w:rFonts w:hint="eastAsia" w:ascii="楷体" w:hAnsi="楷体" w:eastAsia="楷体" w:cs="仿宋"/>
          <w:color w:val="000000"/>
          <w:sz w:val="24"/>
        </w:rPr>
        <w:t>：</w:t>
      </w:r>
      <w:r>
        <w:rPr>
          <w:rFonts w:eastAsia="楷体"/>
          <w:color w:val="000000"/>
          <w:sz w:val="24"/>
        </w:rPr>
        <w:t>1</w:t>
      </w:r>
      <w:r>
        <w:rPr>
          <w:rFonts w:hint="eastAsia" w:ascii="仿宋_GB2312" w:eastAsia="仿宋_GB2312"/>
          <w:color w:val="000000"/>
          <w:sz w:val="24"/>
        </w:rPr>
        <w:t>.</w:t>
      </w:r>
      <w:r>
        <w:rPr>
          <w:rFonts w:hint="eastAsia" w:ascii="楷体" w:hAnsi="楷体" w:eastAsia="楷体" w:cs="仿宋"/>
          <w:color w:val="000000"/>
          <w:sz w:val="24"/>
        </w:rPr>
        <w:t>个别课程或稍有调整，请以平台最终发布课程为准；</w:t>
      </w:r>
    </w:p>
    <w:p>
      <w:pPr>
        <w:ind w:firstLine="720" w:firstLineChars="300"/>
        <w:rPr>
          <w:rFonts w:eastAsia="方正小标宋简体"/>
          <w:color w:val="000000"/>
          <w:szCs w:val="21"/>
        </w:rPr>
      </w:pPr>
      <w:r>
        <w:rPr>
          <w:rFonts w:eastAsia="楷体"/>
          <w:color w:val="000000"/>
          <w:sz w:val="24"/>
        </w:rPr>
        <w:t>2</w:t>
      </w:r>
      <w:r>
        <w:rPr>
          <w:rFonts w:hint="eastAsia" w:ascii="仿宋_GB2312" w:eastAsia="仿宋_GB2312"/>
          <w:color w:val="000000"/>
          <w:sz w:val="24"/>
        </w:rPr>
        <w:t>.</w:t>
      </w:r>
      <w:r>
        <w:rPr>
          <w:rFonts w:ascii="楷体" w:hAnsi="楷体" w:eastAsia="楷体" w:cs="仿宋"/>
          <w:color w:val="000000"/>
          <w:sz w:val="24"/>
        </w:rPr>
        <w:t>课程主讲人职务为课程录制时的职务</w:t>
      </w:r>
      <w:r>
        <w:rPr>
          <w:rFonts w:hint="eastAsia" w:ascii="楷体" w:hAnsi="楷体" w:eastAsia="楷体" w:cs="仿宋"/>
          <w:color w:val="000000"/>
          <w:sz w:val="24"/>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08C32663"/>
    <w:rsid w:val="69FE434F"/>
    <w:rsid w:val="7D94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2023-09-18T05:22:00Z</dcterms:created>
  <dc:creator>Administrator</dc:creator>
  <cp:lastModifiedBy>一叶编舟</cp:lastModifiedBy>
  <dcterms:modified xsi:type="dcterms:W3CDTF">2023-09-18T05:41:30Z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1B3F6126927349ABA796524A30B221F5_12</vt:lpwstr>
  </property>
</Properties>
</file>