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方正小标宋简体" w:eastAsia="方正小标宋简体" w:cs="方正小标宋简体"/>
          <w:kern w:val="44"/>
          <w:sz w:val="30"/>
          <w:szCs w:val="30"/>
        </w:rPr>
      </w:pPr>
      <w:r>
        <w:rPr>
          <w:rFonts w:hint="eastAsia" w:ascii="黑体" w:hAnsi="黑体" w:eastAsia="黑体" w:cs="方正小标宋简体"/>
          <w:kern w:val="44"/>
          <w:sz w:val="30"/>
          <w:szCs w:val="30"/>
        </w:rPr>
        <w:t>附件1</w:t>
      </w:r>
    </w:p>
    <w:p>
      <w:pPr>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福建省高校教学与科研管理干部网络研修课程列表</w:t>
      </w:r>
    </w:p>
    <w:tbl>
      <w:tblPr>
        <w:tblStyle w:val="4"/>
        <w:tblW w:w="10134"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709"/>
        <w:gridCol w:w="992"/>
        <w:gridCol w:w="3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noWrap w:val="0"/>
            <w:vAlign w:val="center"/>
          </w:tcPr>
          <w:p>
            <w:pPr>
              <w:widowControl/>
              <w:jc w:val="center"/>
              <w:textAlignment w:val="center"/>
              <w:rPr>
                <w:rFonts w:hint="eastAsia" w:ascii="Times New Roman" w:hAnsi="Times New Roman" w:eastAsia="仿宋_GB2312" w:cs="宋体"/>
                <w:b/>
                <w:bCs/>
                <w:color w:val="000000"/>
                <w:kern w:val="0"/>
                <w:sz w:val="24"/>
                <w:lang w:bidi="ar"/>
              </w:rPr>
            </w:pPr>
            <w:r>
              <w:rPr>
                <w:rFonts w:hint="eastAsia" w:ascii="Times New Roman" w:hAnsi="Times New Roman" w:eastAsia="仿宋_GB2312" w:cs="宋体"/>
                <w:b/>
                <w:bCs/>
                <w:color w:val="000000"/>
                <w:kern w:val="0"/>
                <w:sz w:val="24"/>
                <w:lang w:bidi="ar"/>
              </w:rPr>
              <w:t>课程</w:t>
            </w:r>
          </w:p>
          <w:p>
            <w:pPr>
              <w:widowControl/>
              <w:jc w:val="center"/>
              <w:textAlignment w:val="center"/>
              <w:rPr>
                <w:rFonts w:hint="eastAsia" w:ascii="Times New Roman" w:hAnsi="Times New Roman" w:eastAsia="仿宋_GB2312" w:cs="宋体"/>
                <w:b/>
                <w:bCs/>
                <w:color w:val="000000"/>
                <w:sz w:val="24"/>
              </w:rPr>
            </w:pPr>
            <w:r>
              <w:rPr>
                <w:rFonts w:hint="eastAsia" w:ascii="Times New Roman" w:hAnsi="Times New Roman" w:eastAsia="仿宋_GB2312" w:cs="宋体"/>
                <w:b/>
                <w:bCs/>
                <w:color w:val="000000"/>
                <w:kern w:val="0"/>
                <w:sz w:val="24"/>
                <w:lang w:bidi="ar"/>
              </w:rPr>
              <w:t>模块</w:t>
            </w:r>
          </w:p>
        </w:tc>
        <w:tc>
          <w:tcPr>
            <w:tcW w:w="4709" w:type="dxa"/>
            <w:noWrap w:val="0"/>
            <w:vAlign w:val="center"/>
          </w:tcPr>
          <w:p>
            <w:pPr>
              <w:widowControl/>
              <w:jc w:val="center"/>
              <w:textAlignment w:val="center"/>
              <w:rPr>
                <w:rFonts w:hint="eastAsia" w:ascii="Times New Roman" w:hAnsi="Times New Roman" w:eastAsia="仿宋_GB2312" w:cs="宋体"/>
                <w:b/>
                <w:bCs/>
                <w:color w:val="000000"/>
                <w:sz w:val="24"/>
              </w:rPr>
            </w:pPr>
            <w:r>
              <w:rPr>
                <w:rFonts w:hint="eastAsia" w:ascii="Times New Roman" w:hAnsi="Times New Roman" w:eastAsia="仿宋_GB2312" w:cs="宋体"/>
                <w:b/>
                <w:bCs/>
                <w:color w:val="000000"/>
                <w:kern w:val="0"/>
                <w:sz w:val="24"/>
                <w:lang w:bidi="ar"/>
              </w:rPr>
              <w:t>课程名称</w:t>
            </w:r>
          </w:p>
        </w:tc>
        <w:tc>
          <w:tcPr>
            <w:tcW w:w="992" w:type="dxa"/>
            <w:noWrap/>
            <w:vAlign w:val="center"/>
          </w:tcPr>
          <w:p>
            <w:pPr>
              <w:widowControl/>
              <w:jc w:val="center"/>
              <w:textAlignment w:val="center"/>
              <w:rPr>
                <w:rFonts w:hint="eastAsia" w:ascii="Times New Roman" w:hAnsi="Times New Roman" w:eastAsia="仿宋_GB2312" w:cs="宋体"/>
                <w:b/>
                <w:bCs/>
                <w:color w:val="000000"/>
                <w:sz w:val="24"/>
              </w:rPr>
            </w:pPr>
            <w:r>
              <w:rPr>
                <w:rFonts w:hint="eastAsia" w:ascii="Times New Roman" w:hAnsi="Times New Roman" w:eastAsia="仿宋_GB2312" w:cs="宋体"/>
                <w:b/>
                <w:bCs/>
                <w:color w:val="000000"/>
                <w:kern w:val="0"/>
                <w:sz w:val="24"/>
                <w:lang w:bidi="ar"/>
              </w:rPr>
              <w:t>主讲人</w:t>
            </w:r>
          </w:p>
        </w:tc>
        <w:tc>
          <w:tcPr>
            <w:tcW w:w="3383" w:type="dxa"/>
            <w:noWrap/>
            <w:vAlign w:val="center"/>
          </w:tcPr>
          <w:p>
            <w:pPr>
              <w:widowControl/>
              <w:jc w:val="center"/>
              <w:textAlignment w:val="center"/>
              <w:rPr>
                <w:rFonts w:hint="eastAsia" w:ascii="Times New Roman" w:hAnsi="Times New Roman" w:eastAsia="仿宋_GB2312" w:cs="宋体"/>
                <w:b/>
                <w:bCs/>
                <w:color w:val="000000"/>
                <w:sz w:val="24"/>
              </w:rPr>
            </w:pPr>
            <w:r>
              <w:rPr>
                <w:rFonts w:hint="eastAsia" w:ascii="Times New Roman" w:hAnsi="Times New Roman" w:eastAsia="仿宋_GB2312" w:cs="宋体"/>
                <w:b/>
                <w:bCs/>
                <w:color w:val="000000"/>
                <w:kern w:val="0"/>
                <w:sz w:val="24"/>
                <w:lang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深入</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学习</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贯彻</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党的</w:t>
            </w:r>
          </w:p>
          <w:p>
            <w:pPr>
              <w:widowControl/>
              <w:jc w:val="center"/>
              <w:textAlignment w:val="center"/>
              <w:rPr>
                <w:rFonts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二十大精神</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深入学习贯彻党的二十大精神 深刻把握 “两个确立”坚决做到“两个维护”</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顾海良</w:t>
            </w:r>
          </w:p>
        </w:tc>
        <w:tc>
          <w:tcPr>
            <w:tcW w:w="3383" w:type="dxa"/>
            <w:noWrap w:val="0"/>
            <w:vAlign w:val="center"/>
          </w:tcPr>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北京大学马克思主义学院教授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深入学习贯彻党的二十大精神 实施科教</w:t>
            </w:r>
          </w:p>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兴国战略强化现代化建设人才支撑</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张  力</w:t>
            </w:r>
          </w:p>
        </w:tc>
        <w:tc>
          <w:tcPr>
            <w:tcW w:w="3383" w:type="dxa"/>
            <w:noWrap w:val="0"/>
            <w:vAlign w:val="center"/>
          </w:tcPr>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国家教育咨询委员会秘书长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新时代新征程中国共产党的使命任务——以中国式现代化全面推进中华民族伟大</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复兴</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秦  强</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中宣部全国宣传干部学院</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新征程新境界——学习党的二十大精神</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王炳林</w:t>
            </w:r>
          </w:p>
        </w:tc>
        <w:tc>
          <w:tcPr>
            <w:tcW w:w="3383" w:type="dxa"/>
            <w:noWrap w:val="0"/>
            <w:vAlign w:val="center"/>
          </w:tcPr>
          <w:p>
            <w:pPr>
              <w:widowControl/>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北京师范大学中共党史党建</w:t>
            </w:r>
          </w:p>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研究院院长、教授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认真学习和领会党的二十大通过的《中国</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共产党章程（修正案）》</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陈凯龙</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中共中央党校（国家行政学院）党建部教授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学习</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贯彻</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习近平新时代中国</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特色</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社会</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主义</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思想</w:t>
            </w:r>
          </w:p>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主题</w:t>
            </w:r>
          </w:p>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教育</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 xml:space="preserve">扎实抓好主题教育 为奋进新征程凝心聚力——认真落实学习贯彻习近平新时代中国特色社会主义思想主题教育工作会议精神 </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邓纯东</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中国社会科学院马克思主义</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研究院原党委书记、院长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全面学习领会习近平新时代中国特色社会主义思想的科学体系、精髓要义、实践要求，把理论学习、调查研究、推动发展、检视</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整改贯通起来，有机融合、一体推进</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周庆智</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中国社会科学院政治学研究所政治文化研究室主任、研究员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牢牢把握“学思想、强党性、重实践、</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建新功”的总要求，自觉用习近平新时代</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中国特色社会主义思想指导各项工作</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 xml:space="preserve">李军鹏 </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中共中央党校（国家行政学院）公共管理教研部教授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《习近平关于调查研究论述摘编》学习辅导</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李军鹏</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中共中央党校（国家行政学院）公共管理教研部教授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习近平新时代中国特色社会主义思想</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的世界观和方法论</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辛向阳</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中国社会科学院马克思主义</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研究院党委书记、副院长，</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高校 人才 培养 模式 改革 新发展</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一流本科人才培养模式的创新与实践——以中国科学技术大学的六十年实践为例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曾长淦</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中国科学技术大学物理学院</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“双一流”建设与人才培养质量评价</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马陆亭</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中国教育科学研究院副院长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大力激发人才创新创造活力，把人才优势</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转化为高质量发展动力</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李建忠</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中国人事科学研究所副院长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数字时代高校创新人才培养——华中师范大学的探索与实践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夏立新</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华中师范大学党委书记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航天一流人才培养模式探索与实践——</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以航空航天工程国家一流本科专业为例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 xml:space="preserve">盛庆红 </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南京航空航天大学航天学院</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学科 建设 理论 创新与实践 发展</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一流学科建设的思考——以华中师范大学为例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查道林</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华中师范大学党委副书记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以高水平规划引领学科发展——对大学</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学科建设规划的一点思考</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贺  飞</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北京大学学科建设办公室</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交叉融合型一流学科建设探索与实践——以中国矿业大学为例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秦波涛</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中国矿业大学学科建设处、</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校学术委员会秘书处办公室</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以一流党建引领一流学科发展</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蔡真亮</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宁波大学海洋学院原党委书记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倡导教学中心的科研导向与研究驱动的  深度教学——基于中央财经大学思政课教学科研改革的实践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冯秀军</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中央财经大学马克思主义学院教授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专业 建设 新动态</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应用型本科高校专业质量评价体系和标准的研究与实践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陈  啸</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海口经济学院校长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地方财经类高校专业建设的思考与实践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余怒涛</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云南财经大学副校长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一流学院治理与一流专业建设</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巫世晶</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武汉大学发展规划与学科建设办公室主任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基于RICH理念的国家一流师范类专业建设与培养模式创新实践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胡美馨</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浙江师范大学外国语学院院长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科研反哺教学在一流专业建设中的探索与实践——以《环境工程》专业认证为例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鲁金凤</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南开大学环境科学与工程学院教授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课程 建设 新探索</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OBE理念在课程与教学中的落地应用</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孙建荣</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澳门科技大学国际学院教授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“四新”背景下一流本科课程的创新与实践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张俊斌</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西安交通大学教务处副处长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一流课程建设模式创新与技术革命</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李凤霞</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北京理工大学计算机学院教授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一流课程评审指标解读</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马昱春</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清华大学计算机科学与技术系教授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kern w:val="0"/>
                <w:sz w:val="24"/>
                <w:lang w:bidi="ar"/>
              </w:rPr>
            </w:pPr>
            <w:r>
              <w:rPr>
                <w:rFonts w:hint="eastAsia" w:ascii="Times New Roman" w:hAnsi="Times New Roman" w:eastAsia="仿宋_GB2312" w:cs="仿宋_GB2312"/>
                <w:b/>
                <w:bCs/>
                <w:color w:val="000000"/>
                <w:kern w:val="0"/>
                <w:sz w:val="24"/>
                <w:lang w:bidi="ar"/>
              </w:rPr>
              <w:t>教育 教学 审核 评估</w:t>
            </w: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审核评估发展历程与新一轮评估注意要点</w:t>
            </w:r>
          </w:p>
        </w:tc>
        <w:tc>
          <w:tcPr>
            <w:tcW w:w="992" w:type="dxa"/>
            <w:noWrap/>
            <w:vAlign w:val="center"/>
          </w:tcPr>
          <w:p>
            <w:pPr>
              <w:widowControl/>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陆根书</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西安交通大学教授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kern w:val="0"/>
                <w:sz w:val="24"/>
                <w:lang w:bidi="ar"/>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借力教学评估，提升教育质量</w:t>
            </w:r>
          </w:p>
        </w:tc>
        <w:tc>
          <w:tcPr>
            <w:tcW w:w="992" w:type="dxa"/>
            <w:noWrap/>
            <w:vAlign w:val="center"/>
          </w:tcPr>
          <w:p>
            <w:pPr>
              <w:widowControl/>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周叶中</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武汉大学党委常委、副校长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kern w:val="0"/>
                <w:sz w:val="24"/>
                <w:lang w:bidi="ar"/>
              </w:rPr>
            </w:pPr>
          </w:p>
        </w:tc>
        <w:tc>
          <w:tcPr>
            <w:tcW w:w="4709" w:type="dxa"/>
            <w:noWrap w:val="0"/>
            <w:vAlign w:val="center"/>
          </w:tcPr>
          <w:p>
            <w:pPr>
              <w:widowControl/>
              <w:jc w:val="left"/>
              <w:textAlignment w:val="center"/>
              <w:rPr>
                <w:rFonts w:hint="eastAsia" w:ascii="Times New Roman" w:hAnsi="Times New Roman" w:eastAsia="仿宋_GB2312" w:cs="宋体"/>
                <w:color w:val="000000"/>
                <w:kern w:val="0"/>
                <w:sz w:val="24"/>
                <w:lang w:bidi="ar"/>
              </w:rPr>
            </w:pPr>
            <w:r>
              <w:rPr>
                <w:rFonts w:hint="eastAsia" w:ascii="Times New Roman" w:hAnsi="Times New Roman" w:eastAsia="仿宋_GB2312" w:cs="宋体"/>
                <w:color w:val="000000"/>
                <w:kern w:val="0"/>
                <w:sz w:val="24"/>
                <w:lang w:bidi="ar"/>
              </w:rPr>
              <w:t>抓好本科审核评估工作，促进高等教育</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内涵式发展</w:t>
            </w:r>
          </w:p>
        </w:tc>
        <w:tc>
          <w:tcPr>
            <w:tcW w:w="992" w:type="dxa"/>
            <w:noWrap/>
            <w:vAlign w:val="center"/>
          </w:tcPr>
          <w:p>
            <w:pPr>
              <w:widowControl/>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刘振天</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教育部高等教育教学评估中心院校教学评估处处长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0" w:type="dxa"/>
            <w:vMerge w:val="continue"/>
            <w:noWrap w:val="0"/>
            <w:vAlign w:val="center"/>
          </w:tcPr>
          <w:p>
            <w:pPr>
              <w:jc w:val="center"/>
              <w:rPr>
                <w:rFonts w:hint="eastAsia" w:ascii="Times New Roman" w:hAnsi="Times New Roman" w:eastAsia="仿宋_GB2312" w:cs="仿宋_GB2312"/>
                <w:b/>
                <w:bCs/>
                <w:color w:val="000000"/>
                <w:kern w:val="0"/>
                <w:sz w:val="24"/>
                <w:lang w:bidi="ar"/>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OBE理念下的专业评估与改进</w:t>
            </w:r>
          </w:p>
        </w:tc>
        <w:tc>
          <w:tcPr>
            <w:tcW w:w="992" w:type="dxa"/>
            <w:noWrap/>
            <w:vAlign w:val="center"/>
          </w:tcPr>
          <w:p>
            <w:pPr>
              <w:widowControl/>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郭江峰</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浙江理工大学教授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kern w:val="0"/>
                <w:sz w:val="24"/>
                <w:lang w:bidi="ar"/>
              </w:rPr>
            </w:pPr>
          </w:p>
        </w:tc>
        <w:tc>
          <w:tcPr>
            <w:tcW w:w="4709" w:type="dxa"/>
            <w:noWrap w:val="0"/>
            <w:vAlign w:val="center"/>
          </w:tcPr>
          <w:p>
            <w:pPr>
              <w:widowControl/>
              <w:jc w:val="left"/>
              <w:textAlignment w:val="center"/>
              <w:rPr>
                <w:rFonts w:hint="eastAsia" w:ascii="Times New Roman" w:hAnsi="Times New Roman" w:eastAsia="仿宋_GB2312" w:cs="宋体"/>
                <w:color w:val="000000"/>
                <w:kern w:val="0"/>
                <w:sz w:val="24"/>
                <w:lang w:bidi="ar"/>
              </w:rPr>
            </w:pPr>
            <w:r>
              <w:rPr>
                <w:rFonts w:hint="eastAsia" w:ascii="Times New Roman" w:hAnsi="Times New Roman" w:eastAsia="仿宋_GB2312" w:cs="宋体"/>
                <w:color w:val="000000"/>
                <w:kern w:val="0"/>
                <w:sz w:val="24"/>
                <w:lang w:bidi="ar"/>
              </w:rPr>
              <w:t>把握新一轮审核评估分类方案要点做好</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学校评建工作</w:t>
            </w:r>
          </w:p>
        </w:tc>
        <w:tc>
          <w:tcPr>
            <w:tcW w:w="992" w:type="dxa"/>
            <w:noWrap/>
            <w:vAlign w:val="center"/>
          </w:tcPr>
          <w:p>
            <w:pPr>
              <w:widowControl/>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傅  勇</w:t>
            </w:r>
          </w:p>
        </w:tc>
        <w:tc>
          <w:tcPr>
            <w:tcW w:w="3383" w:type="dxa"/>
            <w:noWrap w:val="0"/>
            <w:vAlign w:val="center"/>
          </w:tcPr>
          <w:p>
            <w:pPr>
              <w:widowControl/>
              <w:jc w:val="left"/>
              <w:textAlignment w:val="center"/>
              <w:rPr>
                <w:rFonts w:hint="eastAsia" w:ascii="Times New Roman" w:hAnsi="Times New Roman" w:eastAsia="仿宋_GB2312" w:cs="宋体"/>
                <w:color w:val="000000"/>
                <w:kern w:val="0"/>
                <w:sz w:val="24"/>
                <w:lang w:bidi="ar"/>
              </w:rPr>
            </w:pPr>
            <w:r>
              <w:rPr>
                <w:rFonts w:hint="eastAsia" w:ascii="Times New Roman" w:hAnsi="Times New Roman" w:eastAsia="仿宋_GB2312" w:cs="宋体"/>
                <w:color w:val="000000"/>
                <w:kern w:val="0"/>
                <w:sz w:val="24"/>
                <w:lang w:bidi="ar"/>
              </w:rPr>
              <w:t>安徽大学教学质量监控与</w:t>
            </w:r>
          </w:p>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宋体"/>
                <w:color w:val="000000"/>
                <w:kern w:val="0"/>
                <w:sz w:val="24"/>
                <w:lang w:bidi="ar"/>
              </w:rPr>
              <w:t>评价处处长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kern w:val="0"/>
                <w:sz w:val="24"/>
                <w:lang w:bidi="ar"/>
              </w:rPr>
            </w:pPr>
          </w:p>
        </w:tc>
        <w:tc>
          <w:tcPr>
            <w:tcW w:w="4709" w:type="dxa"/>
            <w:noWrap w:val="0"/>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新时代高职院校督导评估的内涵特征及</w:t>
            </w:r>
          </w:p>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体系构建</w:t>
            </w:r>
          </w:p>
        </w:tc>
        <w:tc>
          <w:tcPr>
            <w:tcW w:w="992" w:type="dxa"/>
            <w:noWrap/>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吴向明</w:t>
            </w:r>
          </w:p>
        </w:tc>
        <w:tc>
          <w:tcPr>
            <w:tcW w:w="3383" w:type="dxa"/>
            <w:noWrap w:val="0"/>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职业技术教育学院院长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教师 队伍 建设 新经验</w:t>
            </w: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改革教师评价 建设高素质专业化创新型</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教师队伍</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任友群</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教育部教师工作司司长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以教学反思促进教师专业发展</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 xml:space="preserve">胡淑均 </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北京教育学院信息科技与</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劳动教育学院副院长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教学有专长 没有论文也可评教授 ——</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南京林业大学职称评审改革探索与实践</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闵永军</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南京林业大学汽车与交通工程学院教授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青年教师的科研踩坑之路与经验分享</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李艳梅</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清华大学化学系教授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新时代学术 研究与评价 体系 建设</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高校学术治理的法治框架：《高等学校学术委员会规程》解读</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王大泉</w:t>
            </w:r>
          </w:p>
        </w:tc>
        <w:tc>
          <w:tcPr>
            <w:tcW w:w="3383" w:type="dxa"/>
            <w:noWrap w:val="0"/>
            <w:vAlign w:val="center"/>
          </w:tcPr>
          <w:p>
            <w:pPr>
              <w:widowControl/>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正确认识教学学术的内涵与本质</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熊庆年</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复旦大学高等教育研究所</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原所长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当前我国科研领域的形势任务与政策措施</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万劲波</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中国科学院科技战略咨询   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破解高校科研与教学矛盾的学术之道</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桑新民</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南京大学教授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科研诚信与学术规范管理</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易  平</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浙江大学医学院科研办公室</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高校 科研 成果的考核 评价 体系</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科研成果总结和论文投稿注意事项</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李艳梅</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清华大学化学系教授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科研成果形成与凝练的心得与经验</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沈火明</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西南交通大学教授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如何用科研成果反哺与促进教学</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李凤霞</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北京理工大学计算机学院教授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高校 学术 组织与学术 团队 建设</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高校学术治理的法治框架：《高等学校预防与处理学术不端行为办法》解读</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王大泉</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高等学校预防与处理学术不端行为办法</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王敬波</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对外经济贸易大学党委常委、副校长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高校学术不端行为的调查与处理：结合案例的讨论</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张 冉</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北京大学教育学院副教授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高校 科研 资源的开发与配置</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如何做好高校的科研工作</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屈凌波</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郑州大学副校长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优化科研组织 化地域劣势为资源优势</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张浩力</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兰州大学研究生院执行院长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行业特色院校有组织科研探索与实践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赵毅鑫</w:t>
            </w:r>
          </w:p>
        </w:tc>
        <w:tc>
          <w:tcPr>
            <w:tcW w:w="3383"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中国矿业大学（北京）科学</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以教科研引领学校高质量发展</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房  宏</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常州市教师发展学院院长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科研论文的撰写与创新</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褚福磊</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清华大学机械工程学院教授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高校 科技 成果的转化与应用</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社会科学基金申报书案例分析与问题诊断</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谢建社</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广州大学教授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科研反哺教学的实践经历与经验体会</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李丹青</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浙江大学教授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科研反哺教学在一流课程建设中的应用</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探索</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赵  宏</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南开大学计算机学院教授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科技成果评价方法及典型案例</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张士运</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北京科学学研究中心主任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教学 质量 保障 体系</w:t>
            </w: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如何构建多元化教学评价体系</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周屈兰</w:t>
            </w:r>
          </w:p>
        </w:tc>
        <w:tc>
          <w:tcPr>
            <w:tcW w:w="3383" w:type="dxa"/>
            <w:noWrap/>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西安交通大学教授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新时代高校教学评估与院校教学督导的</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研究与实践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  芳</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对外经济贸易大学副研究员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高等教育质量保障体系建设要点与评估</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认证新趋势</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刘振天</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厦门大学教育研究院特聘教授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新时代高校内部质量保障体系建设——</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同济特色质量保证体系的探索与创新</w:t>
            </w:r>
          </w:p>
        </w:tc>
        <w:tc>
          <w:tcPr>
            <w:tcW w:w="992" w:type="dxa"/>
            <w:noWrap/>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李亚东</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五邑大学特聘教授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0" w:type="dxa"/>
            <w:vMerge w:val="restart"/>
            <w:noWrap w:val="0"/>
            <w:vAlign w:val="center"/>
          </w:tcPr>
          <w:p>
            <w:pPr>
              <w:widowControl/>
              <w:jc w:val="center"/>
              <w:textAlignment w:val="center"/>
              <w:rPr>
                <w:rFonts w:hint="eastAsia" w:ascii="Times New Roman" w:hAnsi="Times New Roman" w:eastAsia="仿宋_GB2312" w:cs="仿宋_GB2312"/>
                <w:b/>
                <w:bCs/>
                <w:color w:val="000000"/>
                <w:sz w:val="24"/>
              </w:rPr>
            </w:pPr>
            <w:r>
              <w:rPr>
                <w:rFonts w:hint="eastAsia" w:ascii="Times New Roman" w:hAnsi="Times New Roman" w:eastAsia="仿宋_GB2312" w:cs="仿宋_GB2312"/>
                <w:b/>
                <w:bCs/>
                <w:color w:val="000000"/>
                <w:kern w:val="0"/>
                <w:sz w:val="24"/>
                <w:lang w:bidi="ar"/>
              </w:rPr>
              <w:t>教育 评价 改革</w:t>
            </w: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推进新时代教育评价改革 开启中国教育</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现代化新征程</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刘自成</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教育部综合改革司司长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仿宋_GB2312" w:hAnsi="等线" w:eastAsia="仿宋_GB2312" w:cs="仿宋_GB2312"/>
                <w:color w:val="000000"/>
                <w:kern w:val="0"/>
                <w:sz w:val="24"/>
                <w:lang w:bidi="ar"/>
              </w:rPr>
            </w:pPr>
            <w:r>
              <w:rPr>
                <w:rFonts w:hint="eastAsia" w:ascii="仿宋_GB2312" w:hAnsi="等线" w:eastAsia="仿宋_GB2312" w:cs="仿宋_GB2312"/>
                <w:color w:val="000000"/>
                <w:kern w:val="0"/>
                <w:sz w:val="24"/>
                <w:lang w:bidi="ar"/>
              </w:rPr>
              <w:t>深化教育评价改革——破除“唯论文”</w:t>
            </w:r>
          </w:p>
          <w:p>
            <w:pPr>
              <w:widowControl/>
              <w:jc w:val="left"/>
              <w:textAlignment w:val="center"/>
              <w:rPr>
                <w:rFonts w:hint="eastAsia" w:ascii="Times New Roman" w:hAnsi="Times New Roman" w:eastAsia="仿宋_GB2312" w:cs="仿宋_GB2312"/>
                <w:color w:val="000000"/>
                <w:sz w:val="24"/>
              </w:rPr>
            </w:pPr>
            <w:r>
              <w:rPr>
                <w:rFonts w:hint="eastAsia" w:ascii="仿宋_GB2312" w:hAnsi="等线" w:eastAsia="仿宋_GB2312" w:cs="仿宋_GB2312"/>
                <w:color w:val="000000"/>
                <w:kern w:val="0"/>
                <w:sz w:val="24"/>
                <w:lang w:bidi="ar"/>
              </w:rPr>
              <w:t>“SCI至上”</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仿宋_GB2312" w:hAnsi="等线" w:eastAsia="仿宋_GB2312" w:cs="仿宋_GB2312"/>
                <w:color w:val="000000"/>
                <w:kern w:val="0"/>
                <w:sz w:val="24"/>
                <w:lang w:bidi="ar"/>
              </w:rPr>
              <w:t xml:space="preserve">雷朝滋 </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仿宋_GB2312" w:hAnsi="等线" w:eastAsia="仿宋_GB2312" w:cs="仿宋_GB2312"/>
                <w:color w:val="000000"/>
                <w:kern w:val="0"/>
                <w:sz w:val="24"/>
                <w:lang w:bidi="ar"/>
              </w:rPr>
              <w:t>教育部科学技术司司长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教育现代化进程中的大学治理</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钟秉林</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中国教育学会原会长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新时代应用型大学建设的探索与实践</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朱士中</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常熟理工学院原党委书记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50" w:type="dxa"/>
            <w:vMerge w:val="continue"/>
            <w:noWrap w:val="0"/>
            <w:vAlign w:val="center"/>
          </w:tcPr>
          <w:p>
            <w:pPr>
              <w:jc w:val="center"/>
              <w:rPr>
                <w:rFonts w:hint="eastAsia" w:ascii="Times New Roman" w:hAnsi="Times New Roman" w:eastAsia="仿宋_GB2312" w:cs="仿宋_GB2312"/>
                <w:b/>
                <w:bCs/>
                <w:color w:val="000000"/>
                <w:sz w:val="24"/>
              </w:rPr>
            </w:pPr>
          </w:p>
        </w:tc>
        <w:tc>
          <w:tcPr>
            <w:tcW w:w="4709" w:type="dxa"/>
            <w:noWrap w:val="0"/>
            <w:vAlign w:val="center"/>
          </w:tcPr>
          <w:p>
            <w:pPr>
              <w:widowControl/>
              <w:jc w:val="left"/>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推进高等教育分类管理和高等学校综合</w:t>
            </w:r>
          </w:p>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改革,构建更加多元的高等教育体系</w:t>
            </w:r>
          </w:p>
        </w:tc>
        <w:tc>
          <w:tcPr>
            <w:tcW w:w="992" w:type="dxa"/>
            <w:noWrap w:val="0"/>
            <w:vAlign w:val="center"/>
          </w:tcPr>
          <w:p>
            <w:pPr>
              <w:widowControl/>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马陆亭</w:t>
            </w:r>
          </w:p>
        </w:tc>
        <w:tc>
          <w:tcPr>
            <w:tcW w:w="3383" w:type="dxa"/>
            <w:noWrap w:val="0"/>
            <w:vAlign w:val="center"/>
          </w:tcPr>
          <w:p>
            <w:pPr>
              <w:widowControl/>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中国教育科学研究院副院长</w:t>
            </w:r>
          </w:p>
        </w:tc>
      </w:tr>
    </w:tbl>
    <w:p>
      <w:pPr>
        <w:rPr>
          <w:rFonts w:hint="eastAsia"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说明：1.个别课程或稍有调整，请以平台最终发布课程为准；</w:t>
      </w:r>
    </w:p>
    <w:p>
      <w:pPr>
        <w:ind w:firstLine="720" w:firstLineChars="300"/>
      </w:pPr>
      <w:r>
        <w:rPr>
          <w:rFonts w:hint="eastAsia" w:ascii="仿宋_GB2312" w:hAnsi="仿宋_GB2312" w:eastAsia="仿宋_GB2312" w:cs="仿宋_GB2312"/>
          <w:sz w:val="24"/>
        </w:rPr>
        <w:t>2.课程主讲人职务为课程录制时的职务。</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rPr>
      <w:t>3</w:t>
    </w:r>
    <w:r>
      <w:rPr>
        <w:rFonts w:hint="eastAsia" w:ascii="仿宋_GB2312" w:eastAsia="仿宋_GB2312"/>
      </w:rPr>
      <w:fldChar w:fldCharType="end"/>
    </w:r>
  </w:p>
  <w:p>
    <w:pPr>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6C74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2023-09-19T05:51:25Z</dcterms:created>
  <dc:creator>Administrator</dc:creator>
  <cp:lastModifiedBy>一叶编舟</cp:lastModifiedBy>
  <dcterms:modified xsi:type="dcterms:W3CDTF">2023-09-19T05:51:55Z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A332DCFD16EF4572BA194723AABB26B8_12</vt:lpwstr>
  </property>
</Properties>
</file>