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 w:val="0"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jc w:val="center"/>
        <w:textAlignment w:val="auto"/>
        <w:rPr>
          <w:rFonts w:ascii="方正小标宋简体" w:eastAsia="方正小标宋简体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shd w:val="clear" w:color="auto" w:fill="FFFFFF"/>
        </w:rPr>
        <w:t>202</w:t>
      </w:r>
      <w:r>
        <w:rPr>
          <w:rFonts w:hint="eastAsia" w:eastAsia="方正小标宋简体" w:cs="Times New Roman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shd w:val="clear" w:color="auto" w:fill="FFFFFF"/>
          <w:lang w:val="en-US" w:eastAsia="zh-CN"/>
        </w:rPr>
        <w:t>-202</w:t>
      </w:r>
      <w:r>
        <w:rPr>
          <w:rFonts w:hint="eastAsia" w:eastAsia="方正小标宋简体" w:cs="Times New Roman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小标宋简体" w:eastAsia="方正小标宋简体" w:cs="Times New Roman"/>
          <w:kern w:val="0"/>
          <w:sz w:val="32"/>
          <w:szCs w:val="32"/>
          <w:shd w:val="clear" w:color="auto" w:fill="FFFFFF"/>
        </w:rPr>
        <w:t>年港澳台学生国情教育网络培训实施方案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eastAsia="仿宋_GB2312" w:cs="Times New Roman"/>
          <w:kern w:val="0"/>
          <w:sz w:val="30"/>
          <w:szCs w:val="30"/>
          <w:highlight w:val="yellow"/>
          <w:shd w:val="clear" w:color="auto" w:fill="FFFFFF"/>
        </w:rPr>
      </w:pPr>
      <w:r>
        <w:rPr>
          <w:rFonts w:hint="eastAsia" w:eastAsia="仿宋_GB2312" w:cs="Times New Roman"/>
          <w:kern w:val="0"/>
          <w:sz w:val="30"/>
          <w:szCs w:val="30"/>
          <w:highlight w:val="none"/>
          <w:shd w:val="clear" w:color="auto" w:fill="FFFFFF"/>
        </w:rPr>
        <w:t>为推动港澳台学生国情教育培训常态化</w:t>
      </w:r>
      <w:r>
        <w:rPr>
          <w:rFonts w:hint="eastAsia" w:eastAsia="仿宋_GB2312" w:cs="Times New Roman"/>
          <w:kern w:val="0"/>
          <w:sz w:val="30"/>
          <w:szCs w:val="30"/>
          <w:highlight w:val="none"/>
          <w:shd w:val="clear" w:color="auto" w:fill="FFFFFF"/>
          <w:lang w:eastAsia="zh-CN"/>
        </w:rPr>
        <w:t>，</w:t>
      </w:r>
      <w:r>
        <w:rPr>
          <w:rFonts w:hint="eastAsia" w:eastAsia="仿宋_GB2312" w:cs="Times New Roman"/>
          <w:kern w:val="0"/>
          <w:sz w:val="30"/>
          <w:szCs w:val="30"/>
          <w:highlight w:val="none"/>
          <w:shd w:val="clear" w:color="auto" w:fill="FFFFFF"/>
        </w:rPr>
        <w:t>增强港澳台学生的使命感和责任感，助力港澳</w:t>
      </w:r>
      <w:r>
        <w:rPr>
          <w:rFonts w:hint="eastAsia" w:eastAsia="仿宋_GB2312" w:cs="Times New Roman"/>
          <w:kern w:val="0"/>
          <w:sz w:val="30"/>
          <w:szCs w:val="30"/>
          <w:highlight w:val="none"/>
          <w:shd w:val="clear" w:color="auto" w:fill="FFFFFF"/>
          <w:lang w:val="en-US" w:eastAsia="zh-CN"/>
        </w:rPr>
        <w:t>台</w:t>
      </w:r>
      <w:r>
        <w:rPr>
          <w:rFonts w:hint="eastAsia" w:eastAsia="仿宋_GB2312" w:cs="Times New Roman"/>
          <w:kern w:val="0"/>
          <w:sz w:val="30"/>
          <w:szCs w:val="30"/>
          <w:highlight w:val="none"/>
          <w:shd w:val="clear" w:color="auto" w:fill="FFFFFF"/>
        </w:rPr>
        <w:t>青年更好融入国家发展大局，经广泛培训需求调研，现将202</w:t>
      </w:r>
      <w:r>
        <w:rPr>
          <w:rFonts w:hint="eastAsia" w:eastAsia="仿宋_GB2312" w:cs="Times New Roman"/>
          <w:kern w:val="0"/>
          <w:sz w:val="30"/>
          <w:szCs w:val="30"/>
          <w:highlight w:val="none"/>
          <w:shd w:val="clear" w:color="auto" w:fill="FFFFFF"/>
          <w:lang w:val="en-US" w:eastAsia="zh-CN"/>
        </w:rPr>
        <w:t>3-2024</w:t>
      </w:r>
      <w:r>
        <w:rPr>
          <w:rFonts w:hint="eastAsia" w:eastAsia="仿宋_GB2312" w:cs="Times New Roman"/>
          <w:kern w:val="0"/>
          <w:sz w:val="30"/>
          <w:szCs w:val="30"/>
          <w:highlight w:val="none"/>
          <w:shd w:val="clear" w:color="auto" w:fill="FFFFFF"/>
        </w:rPr>
        <w:t>年港澳台学生国情教育网</w:t>
      </w:r>
      <w:bookmarkStart w:id="0" w:name="_GoBack"/>
      <w:bookmarkEnd w:id="0"/>
      <w:r>
        <w:rPr>
          <w:rFonts w:hint="eastAsia" w:eastAsia="仿宋_GB2312" w:cs="Times New Roman"/>
          <w:kern w:val="0"/>
          <w:sz w:val="30"/>
          <w:szCs w:val="30"/>
          <w:highlight w:val="none"/>
          <w:shd w:val="clear" w:color="auto" w:fill="FFFFFF"/>
        </w:rPr>
        <w:t>络培训实施方案拟定如下。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培训目标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eastAsia="仿宋_GB2312" w:cs="Times New Roman"/>
          <w:sz w:val="30"/>
          <w:szCs w:val="30"/>
          <w:highlight w:val="none"/>
          <w:shd w:val="clear" w:color="auto" w:fill="FFFFFF"/>
          <w:lang w:val="en-US" w:eastAsia="zh-CN"/>
        </w:rPr>
        <w:t>培训通过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积极</w:t>
      </w:r>
      <w:r>
        <w:rPr>
          <w:rFonts w:hint="eastAsia" w:ascii="仿宋_GB2312" w:hAnsi="楷体" w:eastAsia="仿宋_GB2312" w:cs="宋体"/>
          <w:color w:val="000000"/>
          <w:sz w:val="30"/>
          <w:szCs w:val="30"/>
          <w:lang w:val="en-US" w:eastAsia="zh-CN"/>
        </w:rPr>
        <w:t>引导</w:t>
      </w:r>
      <w:r>
        <w:rPr>
          <w:rFonts w:hint="eastAsia" w:eastAsia="仿宋_GB2312" w:cs="Times New Roman"/>
          <w:sz w:val="30"/>
          <w:szCs w:val="30"/>
          <w:highlight w:val="none"/>
          <w:shd w:val="clear" w:color="auto" w:fill="FFFFFF"/>
          <w:lang w:val="en-US" w:eastAsia="zh-CN"/>
        </w:rPr>
        <w:t>港澳台学生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全面学习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国家的经济、政治、文化、法治、安全、外交等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政策和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内容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帮助港澳台学生树立正确的历史观、民族观、国家观、文化观，大力提升港澳台学生的文化认同、民族认同和国家认同，努力将港澳台学生培养为坚持“一国两制”和推进祖国统一的认同者、拥护者和参与者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黑体" w:hAnsi="黑体" w:eastAsia="黑体" w:cs="Times New Roman"/>
          <w:color w:val="auto"/>
          <w:sz w:val="30"/>
          <w:szCs w:val="30"/>
        </w:rPr>
      </w:pPr>
      <w:r>
        <w:rPr>
          <w:rFonts w:hint="eastAsia" w:ascii="黑体" w:hAnsi="黑体" w:eastAsia="黑体" w:cs="Times New Roman"/>
          <w:color w:val="auto"/>
          <w:sz w:val="30"/>
          <w:szCs w:val="30"/>
        </w:rPr>
        <w:t>二、</w:t>
      </w:r>
      <w:r>
        <w:rPr>
          <w:rFonts w:hint="eastAsia" w:ascii="黑体" w:hAnsi="黑体" w:eastAsia="黑体"/>
          <w:sz w:val="30"/>
          <w:szCs w:val="30"/>
        </w:rPr>
        <w:t>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0"/>
        <w:rPr>
          <w:rFonts w:hint="eastAsia" w:ascii="黑体" w:hAnsi="黑体" w:eastAsia="黑体"/>
          <w:color w:val="000000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shd w:val="clear" w:color="auto" w:fill="FFFFFF"/>
        </w:rPr>
        <w:t>在内地（大陆）高校学习的港澳台学生。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  <w:shd w:val="clear" w:color="auto" w:fill="FFFFFF"/>
        </w:rPr>
        <w:t>三、培训时间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red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1. 202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-202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学年第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学期学习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时间为202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日至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2023年12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 xml:space="preserve">2.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-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学年第二学期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shd w:val="clear" w:color="auto" w:fill="FFFFFF"/>
        </w:rPr>
        <w:t>学习时间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日至2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高校可结合本校实际情况任选一学期进行学习，亦可参加两个学期的整年学习。本次培训仅组织一次报名，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参训单位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  <w:shd w:val="clear" w:color="auto" w:fill="FFFFFF"/>
        </w:rPr>
        <w:t>于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shd w:val="clear" w:color="auto" w:fill="FFFFFF"/>
          <w:lang w:val="en-US" w:eastAsia="zh-CN"/>
        </w:rPr>
        <w:t>25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  <w:shd w:val="clear" w:color="auto" w:fill="FFFFFF"/>
        </w:rPr>
        <w:t>日前统</w:t>
      </w:r>
      <w:r>
        <w:rPr>
          <w:rFonts w:ascii="Times New Roman" w:hAnsi="Times New Roman" w:eastAsia="仿宋_GB2312" w:cs="Times New Roman"/>
          <w:kern w:val="0"/>
          <w:sz w:val="30"/>
          <w:szCs w:val="30"/>
          <w:shd w:val="clear" w:color="auto" w:fill="FFFFFF"/>
        </w:rPr>
        <w:t>一由省级教育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shd w:val="clear" w:color="auto" w:fill="FFFFFF"/>
        </w:rPr>
        <w:t>工作部门</w:t>
      </w:r>
      <w:r>
        <w:rPr>
          <w:rFonts w:ascii="Times New Roman" w:hAnsi="Times New Roman" w:eastAsia="仿宋_GB2312" w:cs="Times New Roman"/>
          <w:kern w:val="0"/>
          <w:sz w:val="30"/>
          <w:szCs w:val="30"/>
          <w:shd w:val="clear" w:color="auto" w:fill="FFFFFF"/>
        </w:rPr>
        <w:t>将报名表</w:t>
      </w:r>
      <w:r>
        <w:fldChar w:fldCharType="begin"/>
      </w:r>
      <w:r>
        <w:instrText xml:space="preserve"> HYPERLINK "mailto:发送至报名邮箱gatxs@naea.edu.cn" </w:instrText>
      </w:r>
      <w:r>
        <w:fldChar w:fldCharType="separate"/>
      </w:r>
      <w:r>
        <w:rPr>
          <w:rStyle w:val="15"/>
          <w:rFonts w:ascii="Times New Roman" w:hAnsi="Times New Roman" w:eastAsia="仿宋_GB2312" w:cs="Times New Roman"/>
          <w:color w:val="auto"/>
          <w:kern w:val="0"/>
          <w:sz w:val="30"/>
          <w:szCs w:val="30"/>
          <w:u w:val="none"/>
          <w:shd w:val="clear" w:color="auto" w:fill="FFFFFF"/>
        </w:rPr>
        <w:t>发送至报名邮箱</w:t>
      </w:r>
      <w:r>
        <w:rPr>
          <w:rStyle w:val="15"/>
          <w:rFonts w:ascii="Times New Roman" w:hAnsi="Times New Roman" w:eastAsia="仿宋_GB2312" w:cs="Times New Roman"/>
          <w:color w:val="auto"/>
          <w:kern w:val="0"/>
          <w:sz w:val="30"/>
          <w:szCs w:val="30"/>
          <w:u w:val="none"/>
          <w:shd w:val="clear" w:color="auto" w:fill="FFFFFF" w:themeFill="background1"/>
        </w:rPr>
        <w:t>gatxs@naea.edu.cn</w:t>
      </w:r>
      <w:r>
        <w:rPr>
          <w:rStyle w:val="15"/>
          <w:rFonts w:ascii="Times New Roman" w:hAnsi="Times New Roman" w:eastAsia="仿宋_GB2312" w:cs="Times New Roman"/>
          <w:color w:val="auto"/>
          <w:kern w:val="0"/>
          <w:sz w:val="30"/>
          <w:szCs w:val="30"/>
          <w:u w:val="none"/>
          <w:shd w:val="clear" w:color="auto" w:fill="FFFFFF" w:themeFill="background1"/>
        </w:rPr>
        <w:fldChar w:fldCharType="end"/>
      </w:r>
      <w:r>
        <w:rPr>
          <w:rFonts w:ascii="Times New Roman" w:hAnsi="Times New Roman" w:eastAsia="仿宋_GB2312" w:cs="Times New Roman"/>
          <w:kern w:val="0"/>
          <w:sz w:val="30"/>
          <w:szCs w:val="30"/>
          <w:shd w:val="clear" w:color="auto" w:fill="FFFFFF" w:themeFill="background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  <w:shd w:val="clear" w:color="auto" w:fill="FFFFFF"/>
        </w:rPr>
        <w:t>四、培训内容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0"/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培训内容分为录播课程和直播课程两部分。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0"/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录播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必修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课程围绕“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>认识大学生活”“学习党史国史”“学习宪法法律”“知晓国情世情”“守护国家安全”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设置，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录播选修课程围绕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/>
        </w:rPr>
        <w:t>“德育为先”“智育启慧”“体育强魄”“美育润心”“劳育励人”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设置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建议高校每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学期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选学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录播课程36学时，其中必修课程24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shd w:val="clear" w:color="auto" w:fill="FFFFFF"/>
        </w:rPr>
        <w:t>学时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shd w:val="clear" w:color="auto" w:fill="FFFFFF"/>
          <w:lang w:val="en-US" w:eastAsia="zh-CN"/>
        </w:rPr>
        <w:t>选修课程12学时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，参训高校也可根据本校港澳台学生国情教育工作实际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设置考核学时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亦可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指定其中部分课程作为必修内容，与本校港澳台学生国情教育课程体系互为支持和补充。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shd w:val="clear" w:color="auto" w:fill="FFFFFF"/>
        </w:rPr>
        <w:t>直播课程以“国情教育大讲堂”的方式举办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shd w:val="clear" w:color="auto" w:fill="FFFFFF"/>
        </w:rPr>
        <w:t>结合学习专题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shd w:val="clear" w:color="auto" w:fill="FFFFFF"/>
          <w:lang w:val="en-US" w:eastAsia="zh-CN"/>
        </w:rPr>
        <w:t>计划开展5期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shd w:val="clear" w:color="auto" w:fill="FFFFFF"/>
        </w:rPr>
        <w:t>。</w:t>
      </w:r>
      <w:r>
        <w:rPr>
          <w:rFonts w:hint="eastAsia" w:ascii="仿宋_GB2312" w:hAnsi="仿宋" w:eastAsia="仿宋_GB2312" w:cs="仿宋"/>
          <w:sz w:val="30"/>
          <w:szCs w:val="30"/>
        </w:rPr>
        <w:t>“国情教育大讲堂”系列直播由教育部港澳台办统筹规划与指导，国家教育行政学院远程培训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部</w:t>
      </w:r>
      <w:r>
        <w:rPr>
          <w:rFonts w:hint="eastAsia" w:ascii="仿宋_GB2312" w:hAnsi="仿宋" w:eastAsia="仿宋_GB2312" w:cs="仿宋"/>
          <w:sz w:val="30"/>
          <w:szCs w:val="30"/>
        </w:rPr>
        <w:t>负责直播选题拟定与具体直播实施保障工作，各地和各校负责组织学员按时有序参加。多方联动、多方协同，确保每期直播活动顺利进行，具体直播安排另行通知。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0"/>
        <w:rPr>
          <w:rFonts w:ascii="黑体" w:hAnsi="黑体" w:eastAsia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0"/>
          <w:szCs w:val="30"/>
          <w:shd w:val="clear" w:color="auto" w:fill="FFFFFF"/>
        </w:rPr>
        <w:t>五、培训方式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outlineLvl w:val="0"/>
        <w:rPr>
          <w:rFonts w:ascii="仿宋_GB2312" w:eastAsia="仿宋_GB2312" w:cs="Times New Roman"/>
          <w:sz w:val="30"/>
          <w:szCs w:val="30"/>
        </w:rPr>
      </w:pPr>
      <w:r>
        <w:rPr>
          <w:rFonts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1.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</w:rPr>
        <w:t>学习平台</w:t>
      </w:r>
      <w:r>
        <w:rPr>
          <w:rFonts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培训依托国家教育行政学院的“港澳台学生国情教育学习平台”组织实施。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学员</w:t>
      </w:r>
      <w:r>
        <w:rPr>
          <w:rFonts w:hint="eastAsia" w:ascii="仿宋_GB2312" w:eastAsia="仿宋_GB2312" w:cs="Times New Roman"/>
          <w:sz w:val="30"/>
          <w:szCs w:val="30"/>
        </w:rPr>
        <w:t>在“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港澳台学生国情教育学习平台”</w:t>
      </w:r>
      <w:r>
        <w:rPr>
          <w:rFonts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30"/>
          <w:szCs w:val="30"/>
        </w:rPr>
        <w:t>网址：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http://s.enaea.edu.cn/h/gat/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仿宋_GB2312" w:eastAsia="仿宋_GB2312" w:cs="Times New Roman"/>
          <w:sz w:val="30"/>
          <w:szCs w:val="30"/>
        </w:rPr>
        <w:t>进行实名注册，登录后使用统一发放的学习卡参加学习（已注册过的学员可直接登录并使用学习卡）。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eastAsia="黑体"/>
          <w:kern w:val="0"/>
          <w:sz w:val="30"/>
          <w:szCs w:val="30"/>
        </w:rPr>
      </w:pP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.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</w:rPr>
        <w:t>学习环节：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30"/>
          <w:szCs w:val="30"/>
          <w:shd w:val="clear" w:color="auto" w:fill="FFFFFF"/>
        </w:rPr>
        <w:t>网络培训主要设置录播课程学习、直播课程学习、学习心得撰写、在线知识自测4个环节，学员完成相应环节考核要求，可在线打印学时证明，鼓励高校将学习情况纳入学生学分。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left"/>
        <w:textAlignment w:val="auto"/>
        <w:outlineLvl w:val="0"/>
        <w:rPr>
          <w:rFonts w:ascii="Times New Roman" w:hAnsi="Times New Roman" w:eastAsia="黑体"/>
          <w:kern w:val="0"/>
          <w:sz w:val="30"/>
          <w:szCs w:val="30"/>
        </w:rPr>
      </w:pPr>
      <w:r>
        <w:rPr>
          <w:rFonts w:hint="eastAsia" w:eastAsia="黑体"/>
          <w:kern w:val="0"/>
          <w:sz w:val="30"/>
          <w:szCs w:val="30"/>
        </w:rPr>
        <w:t>六、</w:t>
      </w:r>
      <w:r>
        <w:rPr>
          <w:rFonts w:hint="eastAsia" w:ascii="Times New Roman" w:hAnsi="Times New Roman" w:eastAsia="黑体"/>
          <w:kern w:val="0"/>
          <w:sz w:val="30"/>
          <w:szCs w:val="30"/>
        </w:rPr>
        <w:t>组织管理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ascii="Times New Roman" w:hAnsi="Times New Roman" w:eastAsia="仿宋_GB2312" w:cs="Times New Roman"/>
          <w:sz w:val="30"/>
          <w:szCs w:val="30"/>
          <w:lang w:val="zh-TW"/>
        </w:rPr>
      </w:pPr>
      <w:r>
        <w:rPr>
          <w:rFonts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1.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</w:rPr>
        <w:t>培训管理团队</w:t>
      </w: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ascii="Times New Roman" w:hAnsi="Times New Roman" w:eastAsia="仿宋_GB2312" w:cs="Times New Roman"/>
          <w:sz w:val="30"/>
          <w:szCs w:val="30"/>
          <w:lang w:val="zh-TW"/>
        </w:rPr>
        <w:t>培训由</w:t>
      </w:r>
      <w:r>
        <w:rPr>
          <w:rFonts w:hint="eastAsia" w:ascii="仿宋_GB2312" w:hAnsi="仿宋" w:eastAsia="仿宋_GB2312" w:cs="仿宋"/>
          <w:sz w:val="30"/>
          <w:szCs w:val="30"/>
        </w:rPr>
        <w:t>教育部港澳台办</w:t>
      </w:r>
      <w:r>
        <w:rPr>
          <w:rFonts w:ascii="Times New Roman" w:hAnsi="Times New Roman" w:eastAsia="仿宋_GB2312" w:cs="Times New Roman"/>
          <w:sz w:val="30"/>
          <w:szCs w:val="30"/>
          <w:lang w:val="zh-TW"/>
        </w:rPr>
        <w:t>负责统筹规划</w:t>
      </w:r>
      <w:r>
        <w:rPr>
          <w:rFonts w:hint="eastAsia" w:ascii="Times New Roman" w:hAnsi="Times New Roman" w:eastAsia="仿宋_GB2312" w:cs="Times New Roman"/>
          <w:sz w:val="30"/>
          <w:szCs w:val="30"/>
          <w:lang w:val="zh-TW"/>
        </w:rPr>
        <w:t>与指导</w:t>
      </w:r>
      <w:r>
        <w:rPr>
          <w:rFonts w:ascii="Times New Roman" w:hAnsi="Times New Roman" w:eastAsia="仿宋_GB2312" w:cs="Times New Roman"/>
          <w:sz w:val="30"/>
          <w:szCs w:val="30"/>
          <w:lang w:val="zh-TW"/>
        </w:rPr>
        <w:t>，具体项目的组织实施工作由国家教育行政学院</w:t>
      </w:r>
      <w:r>
        <w:rPr>
          <w:rFonts w:hint="eastAsia" w:ascii="Times New Roman" w:hAnsi="Times New Roman" w:eastAsia="仿宋_GB2312" w:cs="Times New Roman"/>
          <w:sz w:val="30"/>
          <w:szCs w:val="30"/>
          <w:lang w:val="zh-TW"/>
        </w:rPr>
        <w:t>远程培训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部</w:t>
      </w:r>
      <w:r>
        <w:rPr>
          <w:rFonts w:ascii="Times New Roman" w:hAnsi="Times New Roman" w:eastAsia="仿宋_GB2312" w:cs="Times New Roman"/>
          <w:sz w:val="30"/>
          <w:szCs w:val="30"/>
          <w:lang w:val="zh-TW"/>
        </w:rPr>
        <w:t>负责</w:t>
      </w:r>
      <w:r>
        <w:rPr>
          <w:rFonts w:hint="eastAsia" w:ascii="Times New Roman" w:hAnsi="Times New Roman" w:eastAsia="仿宋_GB2312" w:cs="Times New Roman"/>
          <w:sz w:val="30"/>
          <w:szCs w:val="30"/>
          <w:lang w:val="zh-TW"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val="zh-TW"/>
        </w:rPr>
        <w:t>各地各校负责本单位港澳台学生培训组织管理工作</w:t>
      </w:r>
      <w:r>
        <w:rPr>
          <w:rFonts w:ascii="Times New Roman" w:hAnsi="Times New Roman" w:eastAsia="仿宋_GB2312" w:cs="Times New Roman"/>
          <w:sz w:val="30"/>
          <w:szCs w:val="30"/>
          <w:lang w:val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2.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</w:rPr>
        <w:t>教学组织管理</w:t>
      </w: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ascii="Times New Roman" w:hAnsi="Times New Roman" w:eastAsia="仿宋_GB2312" w:cs="Times New Roman"/>
          <w:sz w:val="30"/>
          <w:szCs w:val="30"/>
        </w:rPr>
        <w:t>培训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以高校为单位组建班级</w:t>
      </w:r>
      <w:r>
        <w:rPr>
          <w:rFonts w:ascii="Times New Roman" w:hAnsi="Times New Roman" w:eastAsia="仿宋_GB2312" w:cs="Times New Roman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每班设置班级管理员（或班长）1名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为方便组织管理，学院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牵头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建立了“港澳台学生国情教育培训工作管理群”，参训单位根据工作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安排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，可以指定1名负责老师进入工作群。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3.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</w:rPr>
        <w:t>学员支持服务</w:t>
      </w: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ascii="Times New Roman" w:hAnsi="Times New Roman" w:eastAsia="仿宋_GB2312" w:cs="Times New Roman"/>
          <w:sz w:val="30"/>
          <w:szCs w:val="30"/>
        </w:rPr>
        <w:t>为更好地做好培训服务支持工作，及时解决学员遇到的各类问题，学院建立了多元服务支持体系。培训期间，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学生</w:t>
      </w:r>
      <w:r>
        <w:rPr>
          <w:rFonts w:ascii="Times New Roman" w:hAnsi="Times New Roman" w:eastAsia="仿宋_GB2312" w:cs="Times New Roman"/>
          <w:sz w:val="30"/>
          <w:szCs w:val="30"/>
        </w:rPr>
        <w:t>除可以直接联系班级管理员外，还可通过以下方式咨询培训中遇到的相关问题。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（1）直接拨打学员服务热线电话：400-811-9908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服务时间：上午</w:t>
      </w:r>
      <w:r>
        <w:rPr>
          <w:rFonts w:ascii="Times New Roman" w:hAnsi="Times New Roman" w:eastAsia="仿宋_GB2312" w:cs="Times New Roman"/>
          <w:sz w:val="30"/>
          <w:szCs w:val="30"/>
        </w:rPr>
        <w:t>8:30-12:00，下午13:00-17:30，晚上19:00-22:00。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周末及节假日照常值班。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（2）通过平台登录后的客服浮窗咨询学员服务老师：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周一至周五：上午8:30-12:00，下午13:00-17:30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left"/>
        <w:textAlignment w:val="auto"/>
        <w:outlineLvl w:val="0"/>
        <w:rPr>
          <w:rFonts w:hint="eastAsia" w:eastAsia="黑体"/>
          <w:kern w:val="0"/>
          <w:sz w:val="30"/>
          <w:szCs w:val="30"/>
        </w:rPr>
      </w:pPr>
      <w:r>
        <w:rPr>
          <w:rFonts w:hint="eastAsia" w:eastAsia="黑体"/>
          <w:kern w:val="0"/>
          <w:sz w:val="30"/>
          <w:szCs w:val="30"/>
          <w:lang w:val="en-US" w:eastAsia="zh-CN"/>
        </w:rPr>
        <w:t>七、</w:t>
      </w:r>
      <w:r>
        <w:rPr>
          <w:rFonts w:hint="eastAsia" w:eastAsia="黑体"/>
          <w:kern w:val="0"/>
          <w:sz w:val="30"/>
          <w:szCs w:val="30"/>
        </w:rPr>
        <w:t>工作支持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left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鼓励各地各校共享优质国情教育资源，推荐相关专家学者参与国情教育课程体系建设，入选课程将按照国家教育行政学院课程建设标准提供相应课酬。</w:t>
      </w:r>
    </w:p>
    <w:sectPr>
      <w:headerReference r:id="rId3" w:type="default"/>
      <w:footerReference r:id="rId4" w:type="default"/>
      <w:pgSz w:w="11906" w:h="16838"/>
      <w:pgMar w:top="1440" w:right="1803" w:bottom="1440" w:left="1746" w:header="851" w:footer="992" w:gutter="0"/>
      <w:pgNumType w:fmt="decimal" w:start="2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0"/>
        <w:tab w:val="clear" w:pos="4153"/>
      </w:tabs>
      <w:ind w:firstLine="360"/>
      <w:rPr>
        <w:rFonts w:hint="default" w:ascii="Times New Roman" w:hAnsi="Times New Roman" w:cs="Times New Roman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22"/>
        <w:szCs w:val="22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YTRlMTJkOTNhMTQ1NDYxMjBkYjkyNTA2MmU0NDkifQ=="/>
    <w:docVar w:name="KSO_WPS_MARK_KEY" w:val="7c15ba23-846b-41e1-aae1-1bbb39f0de82"/>
  </w:docVars>
  <w:rsids>
    <w:rsidRoot w:val="069D3F3E"/>
    <w:rsid w:val="000914CF"/>
    <w:rsid w:val="000B5A71"/>
    <w:rsid w:val="002235CA"/>
    <w:rsid w:val="00262EB2"/>
    <w:rsid w:val="00295EC2"/>
    <w:rsid w:val="00305A53"/>
    <w:rsid w:val="00310F8C"/>
    <w:rsid w:val="004404C1"/>
    <w:rsid w:val="00511AF1"/>
    <w:rsid w:val="005C59FB"/>
    <w:rsid w:val="005D16BA"/>
    <w:rsid w:val="006344DF"/>
    <w:rsid w:val="00634FB1"/>
    <w:rsid w:val="007B2526"/>
    <w:rsid w:val="007F3650"/>
    <w:rsid w:val="008B4FCD"/>
    <w:rsid w:val="008E3F53"/>
    <w:rsid w:val="00A54F85"/>
    <w:rsid w:val="00A64EBF"/>
    <w:rsid w:val="00B83B06"/>
    <w:rsid w:val="00C013C2"/>
    <w:rsid w:val="00C347F0"/>
    <w:rsid w:val="00CA780C"/>
    <w:rsid w:val="00D73CA6"/>
    <w:rsid w:val="00D93E59"/>
    <w:rsid w:val="00E36902"/>
    <w:rsid w:val="00E60C87"/>
    <w:rsid w:val="00E81620"/>
    <w:rsid w:val="00E96FF4"/>
    <w:rsid w:val="00EE222D"/>
    <w:rsid w:val="00F16CD4"/>
    <w:rsid w:val="00F52A8F"/>
    <w:rsid w:val="01344ABA"/>
    <w:rsid w:val="017E2A82"/>
    <w:rsid w:val="036B411B"/>
    <w:rsid w:val="04455C83"/>
    <w:rsid w:val="04B3278F"/>
    <w:rsid w:val="069D3F3E"/>
    <w:rsid w:val="06E9275D"/>
    <w:rsid w:val="06FF7774"/>
    <w:rsid w:val="09AA3CB5"/>
    <w:rsid w:val="0A8A3261"/>
    <w:rsid w:val="0AD50A2F"/>
    <w:rsid w:val="0BBE1A0C"/>
    <w:rsid w:val="0C4275A0"/>
    <w:rsid w:val="0E2F366B"/>
    <w:rsid w:val="0F075642"/>
    <w:rsid w:val="0FB3419D"/>
    <w:rsid w:val="132D4308"/>
    <w:rsid w:val="16C3289E"/>
    <w:rsid w:val="188E7C6F"/>
    <w:rsid w:val="18BE612E"/>
    <w:rsid w:val="18EE0096"/>
    <w:rsid w:val="1905253A"/>
    <w:rsid w:val="1AEC22BC"/>
    <w:rsid w:val="1AFC4CEC"/>
    <w:rsid w:val="1BFE6842"/>
    <w:rsid w:val="1D610F87"/>
    <w:rsid w:val="1D98060A"/>
    <w:rsid w:val="1E2B3F07"/>
    <w:rsid w:val="1E7B674B"/>
    <w:rsid w:val="1F0237D2"/>
    <w:rsid w:val="1F100D66"/>
    <w:rsid w:val="1FF93EF0"/>
    <w:rsid w:val="219D1F95"/>
    <w:rsid w:val="22BB69DD"/>
    <w:rsid w:val="239A14EB"/>
    <w:rsid w:val="23EB1DA2"/>
    <w:rsid w:val="25756299"/>
    <w:rsid w:val="272555CB"/>
    <w:rsid w:val="27777798"/>
    <w:rsid w:val="2C066900"/>
    <w:rsid w:val="2C2C2F57"/>
    <w:rsid w:val="2DBF50D6"/>
    <w:rsid w:val="32C962B8"/>
    <w:rsid w:val="348A4CBF"/>
    <w:rsid w:val="360F583D"/>
    <w:rsid w:val="36CC70D3"/>
    <w:rsid w:val="37B3452D"/>
    <w:rsid w:val="38503D61"/>
    <w:rsid w:val="390C2146"/>
    <w:rsid w:val="40A2196D"/>
    <w:rsid w:val="41032081"/>
    <w:rsid w:val="4346094B"/>
    <w:rsid w:val="43617545"/>
    <w:rsid w:val="43CA332A"/>
    <w:rsid w:val="43EF4B3E"/>
    <w:rsid w:val="456B6447"/>
    <w:rsid w:val="45852839"/>
    <w:rsid w:val="489F6F86"/>
    <w:rsid w:val="48C30C5D"/>
    <w:rsid w:val="4A4A0D21"/>
    <w:rsid w:val="4C13063E"/>
    <w:rsid w:val="4CB42DC9"/>
    <w:rsid w:val="4E4D491C"/>
    <w:rsid w:val="4FE70DC0"/>
    <w:rsid w:val="50197A10"/>
    <w:rsid w:val="50334EC5"/>
    <w:rsid w:val="553757F5"/>
    <w:rsid w:val="55B40756"/>
    <w:rsid w:val="56BD5357"/>
    <w:rsid w:val="5AAA3869"/>
    <w:rsid w:val="5ADD3ECA"/>
    <w:rsid w:val="5FB822DB"/>
    <w:rsid w:val="616B6DD0"/>
    <w:rsid w:val="61FA2BD4"/>
    <w:rsid w:val="629152E7"/>
    <w:rsid w:val="63C633AC"/>
    <w:rsid w:val="658904F7"/>
    <w:rsid w:val="6782173B"/>
    <w:rsid w:val="68981B0E"/>
    <w:rsid w:val="690D01A8"/>
    <w:rsid w:val="6E5C7E8B"/>
    <w:rsid w:val="6E9B4EC5"/>
    <w:rsid w:val="6FD345A9"/>
    <w:rsid w:val="717C53B4"/>
    <w:rsid w:val="729329B5"/>
    <w:rsid w:val="72F13A2A"/>
    <w:rsid w:val="74270B76"/>
    <w:rsid w:val="766703E1"/>
    <w:rsid w:val="77915B16"/>
    <w:rsid w:val="78343FBF"/>
    <w:rsid w:val="79D74F94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5"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7">
    <w:name w:val="font3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ont4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font2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3">
    <w:name w:val="00正文"/>
    <w:basedOn w:val="1"/>
    <w:qFormat/>
    <w:uiPriority w:val="0"/>
    <w:pPr>
      <w:widowControl/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sz w:val="24"/>
    </w:rPr>
  </w:style>
  <w:style w:type="paragraph" w:customStyle="1" w:styleId="24">
    <w:name w:val="_Style 2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11908</Words>
  <Characters>12949</Characters>
  <Lines>30</Lines>
  <Paragraphs>8</Paragraphs>
  <TotalTime>107</TotalTime>
  <ScaleCrop>false</ScaleCrop>
  <LinksUpToDate>false</LinksUpToDate>
  <CharactersWithSpaces>13133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2022-03-09T07:34:00Z</dcterms:created>
  <dc:creator>徐歆媛</dc:creator>
  <cp:lastModifiedBy>Sa</cp:lastModifiedBy>
  <cp:lastPrinted>2023-09-08T02:28:00Z</cp:lastPrinted>
  <dcterms:modified xsi:type="dcterms:W3CDTF">2023-09-21T06:30:34Z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2ADCECC7507D4A05ADB0AFCCF480C736_13</vt:lpwstr>
  </property>
</Properties>
</file>