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bookmarkStart w:id="0" w:name="_GoBack"/>
      <w:bookmarkEnd w:id="0"/>
      <w:r>
        <w:rPr>
          <w:rFonts w:hint="eastAsia" w:ascii="仿宋" w:hAnsi="仿宋" w:eastAsia="仿宋"/>
          <w:sz w:val="30"/>
          <w:szCs w:val="30"/>
        </w:rPr>
        <w:t>附件</w:t>
      </w:r>
      <w:r>
        <w:rPr>
          <w:rFonts w:ascii="仿宋" w:hAnsi="仿宋" w:eastAsia="仿宋"/>
          <w:sz w:val="30"/>
          <w:szCs w:val="30"/>
        </w:rPr>
        <w:t>1</w:t>
      </w:r>
    </w:p>
    <w:p>
      <w:pPr>
        <w:ind w:firstLine="420"/>
        <w:jc w:val="center"/>
      </w:pPr>
      <w:r>
        <w:rPr>
          <w:rFonts w:hint="eastAsia" w:ascii="仿宋" w:hAnsi="仿宋" w:eastAsia="仿宋"/>
          <w:b/>
          <w:bCs/>
          <w:sz w:val="30"/>
          <w:szCs w:val="30"/>
        </w:rPr>
        <w:t>课题负责人名单</w:t>
      </w:r>
    </w:p>
    <w:tbl>
      <w:tblPr>
        <w:tblStyle w:val="7"/>
        <w:tblW w:w="8895" w:type="dxa"/>
        <w:tblInd w:w="-96" w:type="dxa"/>
        <w:tblLayout w:type="fixed"/>
        <w:tblCellMar>
          <w:top w:w="0" w:type="dxa"/>
          <w:left w:w="108" w:type="dxa"/>
          <w:bottom w:w="0" w:type="dxa"/>
          <w:right w:w="108" w:type="dxa"/>
        </w:tblCellMar>
      </w:tblPr>
      <w:tblGrid>
        <w:gridCol w:w="705"/>
        <w:gridCol w:w="3900"/>
        <w:gridCol w:w="900"/>
        <w:gridCol w:w="3390"/>
      </w:tblGrid>
      <w:tr>
        <w:tblPrEx>
          <w:tblCellMar>
            <w:top w:w="0" w:type="dxa"/>
            <w:left w:w="108" w:type="dxa"/>
            <w:bottom w:w="0" w:type="dxa"/>
            <w:right w:w="108" w:type="dxa"/>
          </w:tblCellMar>
        </w:tblPrEx>
        <w:trPr>
          <w:trHeight w:val="839" w:hRule="atLeast"/>
        </w:trPr>
        <w:tc>
          <w:tcPr>
            <w:tcW w:w="8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 w:val="24"/>
                <w:szCs w:val="24"/>
                <w:lang w:bidi="ar"/>
              </w:rPr>
              <w:t>“区域协同服务全民终身学习实践研究”</w:t>
            </w:r>
            <w:r>
              <w:rPr>
                <w:rFonts w:hint="eastAsia" w:ascii="仿宋" w:hAnsi="仿宋" w:eastAsia="仿宋" w:cs="仿宋"/>
                <w:b/>
                <w:bCs/>
                <w:color w:val="000000"/>
                <w:kern w:val="0"/>
                <w:sz w:val="24"/>
                <w:szCs w:val="24"/>
                <w:lang w:bidi="ar"/>
              </w:rPr>
              <w:br w:type="textWrapping"/>
            </w:r>
            <w:r>
              <w:rPr>
                <w:rFonts w:hint="eastAsia" w:ascii="仿宋" w:hAnsi="仿宋" w:eastAsia="仿宋" w:cs="仿宋"/>
                <w:b/>
                <w:bCs/>
                <w:color w:val="000000"/>
                <w:kern w:val="0"/>
                <w:sz w:val="24"/>
                <w:szCs w:val="24"/>
                <w:lang w:bidi="ar"/>
              </w:rPr>
              <w:t>2022-2023年度子课题立项名单</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课题名称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课题人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单位</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丛生苗木拼栽快速成型培育技术的实践研究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李满强   </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长兴县泗安镇成人文化技术学校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区域协同社区教育助力乡村振兴的实践研究——以长兴县为例</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章小杰</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长兴社区学院   </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城镇中老年群体智能技术“微学习”应用与实践</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殷培勇  </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长兴县雉城中心成人文化技术学校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社区教育区域协作助力乡村振兴的实践研究——以苍溪社区学院为例</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侯艳</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广元开放大学</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协同构建综合性劳动实践基地课程及应用的实践研究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董娟  </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唐亦挺</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上海市崇明区庙镇成人中等文化技术学校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构建小微企业链式服务体系，助力乡村振兴的实践与探索</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毛如兄  </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浙江省宁波市鄞州区姜山镇成人文化技术学校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依托老年学堂，探索“养教融合”新模式</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卢正华   </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长兴县雉城中心成人文化技术学校    </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学习型乡村建设视野下学分银行应用研究----以长兴县画溪街道为例</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刘晓忠</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长兴县雉城中心成人文化技术学校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社区教育服务乡村振兴的实践与探索</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刘毅</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内江开放大学</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积极老龄化视角下区域协同发展老年教育的实践研究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戎梅    </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“多元养老”智慧树— 老年教育赋能提质项目   </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社区学共体协同社区教育融入社区治理的实践研究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李美琴  </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长兴县雉城中心成人文化技术学校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区域协同视域下社区教育融入社区治理实践研究  </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沈士军  李莉   </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宿迁开放大学      </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区域协同发展本地农村老年教育的实践研究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庆祝  </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南京市浦口区星甸街道社区教育中心   </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区域协同社区教育融入社区治理的路径探索</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陈卫清</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江苏省扬州市宝应县柳堡镇社区教育中心</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环阳澄湖协同社区教育助力乡村振兴的实践研究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沈开弟   </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环阳澄湖游学联盟（昆山市巴城镇社区教育中心）</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区域协同发展老年教育的实践研究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黄丽华</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海南热带海洋学院继续教育学院</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区域协同社区教育助力乡村振兴的实践研究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王强  </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山东青岛西海岸新区王台学区教育服务中心</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区域协同社区教育融入社区治理的实践研究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罗书洋  </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浙江省湖州市德清县阜溪街道成人文化技术学校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区域协同社区教育助力乡村振兴的实践研究——家乡的水果番茄</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刘奇华</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宁波市镇海区澥浦成校</w:t>
            </w:r>
          </w:p>
        </w:tc>
      </w:tr>
      <w:tr>
        <w:tblPrEx>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区域老年教育数字化转型发展案例研究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涂丽敏</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老有所学共同体</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启东企业新型学徒制培训模式助力乡村产业工人的实践研究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仇向华</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“苏豫新”乡村振兴共享圈启东开放大学</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加强兼职教师队伍建设助力共富实践研究——以泗安镇为例</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王笃亮</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浙江省长兴县泗安镇成人文化技术学校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区域协同发展家庭教育的实践研究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周红  </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江苏省如皋市石庄镇社区教育中心</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区域协同发展老年教育实践研究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邵丽君  </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南京科技职业学院  </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区域协同发展家庭教育的实践研究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张树明</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“江苏3D＋”区域发展共同体</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整体性治理视角下区域协同发展老年教育实践研究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岳君</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太原开放大学   </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区域协同社区教育助力乡村振兴的实践研究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曹萍</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益阳开放大学     </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区域协同社区教育融入社区治理的实践研究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李丹</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武汉市洪山区社区教育学院  </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“1+N+X”社区教育模式的实验研究——以长兴县林城镇为例</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黄永丹</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长兴县林城镇成人文化技术学校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依托红梅文化培育乡镇社区教育品牌的实验研究 ——以长兴县林城镇为例</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费梅  </w:t>
            </w: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区域协同发展家庭亲子益智游戏的实践研究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薛太平</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李艳</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青岛西海岸新区学区服务指导中心</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区域协同创建新型老年教育示范点的实践研究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田怀玉</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青岛西海岸新区学区服务指导中心</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区域协同发展家庭教育的实践研究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于兆伟</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薛家岛学区教育服务中心</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“互联网+”视域下老年教育财务知识在线学习模式研究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陈桥汝</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雅安开放大学</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开放大学开展社区老年教育的创新路径研究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彭杰</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雅安开放大学</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基于“互联网+思政”的成人高校数学素质通识课建设研究</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姜全德</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广东轻工职业技术学院</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长三角终身教育区县协同发展机制研究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毕玉龙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上海市金山区社区学院</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发展农村社区教育助力乡村振兴战略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袁长清</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安徽省宣城市宣州区教育体育局</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老年教育协同发展工作基础调查研究——以京津陕老年学习共同体为例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蔡芳</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北京市朝阳区职工大学（社区学院）</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社区教育区域合作助力社区治理模式的实践研究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谯宏</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成都市龙泉驿区社区教育中心</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区域协同助力基层治理现代化的实践与研究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傅海茫</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深圳市宝安区职业训练中心（城市学院）</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“家育五灵”跨区域家庭教育共同体的实践探索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陈继明</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杭州上城区社区学院</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以项目为依托开展终身学习综合体建设助力经济振兴和社会发展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赵春明</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天津市静海区成人职业教育中心</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社区老年教育资源建设研究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侯惠敏</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郑州市中原区社区学院</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因地制宜，构建农民终身学习平台，突显区域特色</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杨春青</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天津市蓟州区社区教育指导中心</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区域农村老年人智能技术培训课程开发与应用研究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徐民</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江苏省汾湖高新技术产业开发区成人教育中心校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东北地区协同推进全民终身学习实践探索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潘士珺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辽宁省社区教育指导中心</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“一体两域三全”办好家门口的老年学堂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卢正华</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长兴县雉城中心成人文化技术学校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亲子充电站：家校社协同育人的西湖实践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蒋 晓</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杭州市西湖区社区学院</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区域协同背景下研学旅游在老年教育中的实践研究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 园</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内蒙古建筑职业技术学院</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区域协同发展家庭教育的实践研究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王万霞</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第三批区域终身学习发展共同体</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区域协同发展家庭教育的实践研究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单化力</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邓州市白牛镇中心学校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区域协同社区教育融入社区治理的实践研究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王健</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澄迈县社区教育学院</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区域协同社区教育助力乡村振兴的实践研究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孙继刚</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桦甸市职业教育中心</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嘉峪关市域协同社区教育融入社区治理的实践研究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殷华明</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嘉峪关开放大学</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区域协同发展老年教育的实践研究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刘宇</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江苏省淮安市洪泽区西顺河社区教育中心</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老年人智能手机培训区域协同机制的研究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康辉荣</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上海市青浦夏阳成校（江南学习苑）</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区域协同发展背景下乡镇老年教育的实践研究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葛旭进</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南通市通州区东社镇社区教育中心 (社区教育助力乡村文化振兴共同体)</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区域协同视角下老年教育资源库建设实践与研究--以武汉新城为例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钱诗</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湖北幼儿师范高等专科学校（华中共同体）</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长三角一体化背景下，优质社区教育资源共建共享机制的实践与研究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赵中培</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上海市青浦区赵巷成人中等文化技术学校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区域协同服务全民终身学习模式与途径的实践研究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 鹏</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兰州资源环境职业技术大学</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以多元文化讲堂助推社区教育发展实践思考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殷培勇</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浙江省长兴县雉城中心成人文化技术学校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终身学习理念下的校村合作开展家庭教育的研究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李律平</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长兴县吕山乡成人文化技术学校</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区域协同发展老年教育的实践研究--滁州职业技术学院推广非遗文化凤画艺术老年教育的模式和实践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童宗安</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滁州职业技术学院</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区域协调服务市民综合素质提升的实践研究——以湖北汽车工业学院继续教育学院实践为例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繆勇</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湖北汽车工业学院继续教育学院</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区域协同发展家庭教育的实践研究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朱建芳</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广州市番禺区广播电视大学</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区域协同社区教育助力乡村振兴的实践研究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吴春青</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田洪友</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黑龙江省依安县社区教育学院</w:t>
            </w:r>
          </w:p>
        </w:tc>
      </w:tr>
      <w:tr>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区域协同农牧区培训助力乡村振兴的实践研究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王海荣</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锡林郭勒职业学院</w:t>
            </w:r>
          </w:p>
        </w:tc>
      </w:tr>
      <w:tr>
        <w:tblPrEx>
          <w:tblCellMar>
            <w:top w:w="0" w:type="dxa"/>
            <w:left w:w="108" w:type="dxa"/>
            <w:bottom w:w="0" w:type="dxa"/>
            <w:right w:w="108" w:type="dxa"/>
          </w:tblCellMar>
        </w:tblPrEx>
        <w:trPr>
          <w:trHeight w:val="840" w:hRule="atLeast"/>
        </w:trPr>
        <w:tc>
          <w:tcPr>
            <w:tcW w:w="8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“职业院校服务全民终身学习实践研究”</w:t>
            </w:r>
          </w:p>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 w:val="24"/>
                <w:szCs w:val="24"/>
                <w:lang w:bidi="ar"/>
              </w:rPr>
              <w:t>2022-2023年度子课题立项名单</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课题名称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负责人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所在单位</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农村社区教育与终身学习服务基地建设实践研究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王叁军</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广州城建职业学院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广州地区基层会计人员电算化水平提升研究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邓炬洪</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广州城建职业学院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汽车维修工职业技能等级认定一体化平台建设研究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潘炜俊</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广州城建职业学院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社区教育助力乡村振兴战略研究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宋应周</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贵州省德江县中等职业学校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财商教育融入专业课程思政教育的路径探究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李贵芬</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石家庄铁路职业技术学院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高技能人才继续教育基地建设路径研究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李轶</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石家庄铁路职业技术学院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职业院校服务社区教育实践研究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栗惠英</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石家庄铁路职业技术学院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以“技能”+“通识”双模共建的社区教育课程服务体系探索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曾钧</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丁莎</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武汉市财政学校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“双高”背景下项目制管理在高职院校开展技术技能人才培训工作的实践应用研究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高一强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长春汽车工业高等专科学校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企业新型学徒制评价体系实践研究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柯慧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长春汽车工业高等专科学校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高职教育与社区教育融合发展的实践研究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杨凤湖</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长春汽车工业高等专科学校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全民终身学习视野下技能人才数字化培养体系建设的实践性研究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丁凌燕</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长春汽车工业高等专科学校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高职院校职业培训高质量发展路径的研究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李莹</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长春汽车工业高等专科学校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县域中职学校社区培训资源开发路径的实践研究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李正三</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刘树立</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吉林省集安市职业教育中心</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建设示范性社区教育学院实践研究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王丽</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长春职业技术学院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“一带一路”背景下海船船员国际化素养培育路径研究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刘必旺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江苏海事职业技术学院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来全民终身学习实施制度改革前瞻性研究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邵凯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江苏海事职业技术学院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探讨示范性老年教育课程教学模式的实践研究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戴文忠</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南京市江宁区社区培训学院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职业院校服务区域产业工人数字技能提升实践研究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刘贵锋</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无锡职业技术学院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“互联网+教育”下的继续教育服务平台构建与实践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高爱香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宁夏建设职业技术学院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校-企-社共建共享中职美容美发教学资源研究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刘华</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西宁世纪职业技术学校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高职院校构建乡村振兴人才培育体系的路径研究——以湖州职业技术学院为例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郑昱</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湖州职业技术学院（湖州广播电视大学 湖州社区大学）</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建设“共同富裕示范区”背景下地方综合类高职院校全面服务乡村振兴共富的探索与实践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毛挺刚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台州职业技术学院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职业教育服务社会养老的实践路径研究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杨加力</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乡村振兴背景下高校助力农村社区教育资源建设研究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王静飞</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终身教育背景下高职院校扩招生人才培养问题及对策研究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刘霜冬</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高职院校新型职业农民培训现状与对策研究——以浙江国际海运职业技术学院为例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邵佩华</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互联网思维下高职院校与社区教育融通发展探索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柏昌顺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终身教育背景下渔农村老年教育服务供给路径研究——以舟山为例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周红芬</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终身教育之职业技能培训数字化转型升级研究—以“电工培训”为例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林型平</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终身学习视域下职教助推城乡共富的政校企村模式的路径探究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陆婷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浙江信息工程学校（湖州工程技师学院）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共同富裕视域下县域社区教育学院“岗课证共生”培训体系构建与应用研究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吴敏</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彭水苗族土家族自治县职业教育中心</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职业教育与老年教育、社区服务融通发展的创新教学实践研究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向宇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重庆开放大学</w:t>
            </w:r>
          </w:p>
        </w:tc>
      </w:tr>
      <w:tr>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乡村振兴战略下高职院校参与高素质农民文化与技能提升路径探析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姚咏</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安庆职业技术学院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基层社区学院如何借助地方传统文化服务全民终身学习的实践研究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吴利侦</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岑建毅</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恩平市职业技术教育中心</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职业教育高本一体化培养：实施现状、现实困境与路径突破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广东职业技术学院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终身学习视角下高职院校推进社区美育教育实践路径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郝萌</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广东职业技术学院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1+X证书制度背景下《服装陈列设计》继续教育实施与实践问题研究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陈开俊</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广东职业技术学院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基于终身学习视角下继续教育线上线下混合人才培养体系构建研究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广东职业技术学院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职业院校特色技能课程服务社区教育的路径研究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冯时</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湖北生态工程职业技术学院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职业院校“1+X”证书制度试点工作的实践性研究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吴昱娟</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广东省食品药品职业技术学校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多元协同模式下高职教育与社区教育融通发展的有效路径研究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张文汇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新疆应用职业技术学院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新时代高等职业教育教师的继续教育研究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高深</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郑州旅游职业学院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服务乡村振兴战略，培育新型职业农民队伍，推动农村教育示范基地建设的实践研究——以重庆市江南农民就业创业培训集团为例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郎平</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重庆市江南职业学校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职继协同、区校一体，职业院校服务区域老年教育的创新实践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李彦</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天津城市职业学院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职业技能培训与社区教育融通发展实践研究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刘书玉</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哈尔滨科学技术职业学院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逻辑旨归与价值机理：民族地区职业教育服务乡村振兴实践理路研究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彭志允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福建船政交通职业学院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就业视域下福建省高职院校学生职业生涯规划的优化研究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童金茂</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福建船政交通职业学院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职业院校学分银行服务全民终身学习成果认定与学分转换的实证研究——以福建船政交通职业学院为例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吴联斌</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福建船政交通职业学院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终身教育视阙下职业院校开展老年教育的策略研究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王晶</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福建船政交通职业学院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终身教育视域下老年大学课程体系建设研究---以福建船政交通学院老年教育培训班为例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江逸</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福建船政交通职业学院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终身学习理念下的虚拟现实技术应用专业课程体系改革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王霞</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福建船政交通职业学院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职业教育与社区教育融通发展的实践研究——以幼儿教育社区教育示范基地建设为例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蒋文娟</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长江职业学院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职业院校依托产业学院产教融合开展培训的实践研究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郑士基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江门职业技术学院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中职面向终身学习“一体化”培训课程建设与实践研究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黄大英</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重庆市九龙坡职业教育中心</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产教融合视域下建立示范性乡村振兴人才培训基地的实践研究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樊晶艳</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广东科贸职业学院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广东省农村青年创业致富带头人分类分层培训模式的研究与实践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陆璃</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广东科贸职业学院</w:t>
            </w:r>
          </w:p>
        </w:tc>
      </w:tr>
      <w:tr>
        <w:tblPrEx>
          <w:tblCellMar>
            <w:top w:w="0" w:type="dxa"/>
            <w:left w:w="108" w:type="dxa"/>
            <w:bottom w:w="0" w:type="dxa"/>
            <w:right w:w="108" w:type="dxa"/>
          </w:tblCellMar>
        </w:tblPrEx>
        <w:trPr>
          <w:trHeight w:val="31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终身教育视野下职业院校和社区教育互动发展措施研究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王会娟</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石家庄铁路职业技术学院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基于创新工作室的中职教育与老年教育融通实践研究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陈雷</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唐山市曹妃甸区职业技术教育中心</w:t>
            </w:r>
          </w:p>
        </w:tc>
      </w:tr>
      <w:tr>
        <w:tblPrEx>
          <w:tblCellMar>
            <w:top w:w="0" w:type="dxa"/>
            <w:left w:w="108" w:type="dxa"/>
            <w:bottom w:w="0" w:type="dxa"/>
            <w:right w:w="108" w:type="dxa"/>
          </w:tblCellMar>
        </w:tblPrEx>
        <w:trPr>
          <w:trHeight w:val="31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县域中职教育赋能提质老年教育的实践研究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邢富强</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方正县职业技术教育中心</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职业教育融通社区教育、老年教育构建全民终身学习体系的实践研究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张群</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哈尔滨开放大学尚志分校</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中职学校推动全民终身学习策略研究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王凤阳</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黑龙江省林口县职业教育中心学校</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终身学习如何服务“绥棱黑陶非物质文化遗产”传承发展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孙宇迪</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绥棱县职业技术学校</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教育数字化背景下高职院校职业培训体系研究与实践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郭红雪</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湖北生物科技职业学院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校社联动，以中华传统文化共筑“美艺夕阳红”老年教育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孙芬</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湖北生物科技职业学院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学历教育与员工培训双轨制终身教育实践研究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赵永平</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武汉燃气热力学校</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产教融合背景下职业院校建设服务全民终身学习示范性职工培训基地路径探索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赵倩倩</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湖北三峡职业技术学院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“长江大保护”专题“大思政课”培训课程体系及培训资源开发研究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贺霄</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湖北三峡职业技术学院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基于健康教育的应急救护培训项目评估与改进</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黄文峰</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湖北三峡职业技术学院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健康中国背景下职业院校服务基层卫生人才终身教育实践研究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胡慧勤</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湖北三峡职业技术学院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涉农高职院校开展高素质农民培育的实践研究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邓可洪</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湖北三峡职业技术学院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继续教育与老年健康教育融合发展新模式研究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朱幼平</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鄂州职业大学</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民族地区职业院校与社区教育融通发展的实践研究——以恩施职业技术学院为例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曾晓芳</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恩施职业技术学院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中等职业教育与职业技能培训融通发展策略研究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丁玲</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恩施市中等职业技术学校</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构建职业教育服务全民终身学习教育体系的路径研究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董威</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湖北生态工程职业技术学院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服务区域经济发展的职业培训体系研究与实践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宋武</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武汉警官职业学院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老年健康教育课程开发的实践研究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刘婷</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湘潭医卫职业技术学院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以健康教育为抓手“家校社”协同建设社区教育示范基地实践研究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周汨</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湘潭医卫职业技术学院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高职院校助力地方乡村振兴研究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孙峥</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吉林工程职业学院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基于ISO10015国际标准的职业培训过程质量管理体系研究与实践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崔滨</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长春汽车工业高等专科学校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以主题资源布局全民教育与职业教育深度融通的共享课程实践研究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谢丹</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长春汽车工业高等专科学校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职业院校与继续教育融通视阈下继续教育网络课程建设与实践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孟凡荣</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长春汽车工业高等专科学校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职业院校在产教融合、校企合作中与龙头企业联合建设示范性职工培训基地及推动1+X证书制度实施的实践研究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汪月英</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长春汽车工业高等专科学校</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职业院校与社区教育通融发展培养高素质乡村振兴人才战略实践研究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陈慧</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江苏城市职业学院南通办学点</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职业教育与继续教育资源库融通建设研究——以建筑专业为例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段小芳</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江苏城市职业学院南通办学点</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职业教育与社区教育融通发展实践研究——以江苏城市职业学院南通办学点“三合三学”社区教育实践探索为例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张翔</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江苏城市职业学院南通办学点</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职业院校服务全民终身学习应然路径研究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戴晓炜</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南京科技职业学院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职业教育与老年教育融通发展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崔秀丽</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大连海洋学校</w:t>
            </w:r>
          </w:p>
        </w:tc>
      </w:tr>
      <w:tr>
        <w:tblPrEx>
          <w:tblCellMar>
            <w:top w:w="0" w:type="dxa"/>
            <w:left w:w="108" w:type="dxa"/>
            <w:bottom w:w="0" w:type="dxa"/>
            <w:right w:w="108" w:type="dxa"/>
          </w:tblCellMar>
        </w:tblPrEx>
        <w:trPr>
          <w:trHeight w:val="5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职业教育与老年教育融通发展的实验研究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杨景峰</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赤峰市元宝山区第二中学（元宝山区职教中心）</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职业教育与继续教育、社区教育融通发展助力乡村振兴实践研究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孙厚红</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威海市文登技师学院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高职教育服务全民终身学习教育体系的实践研究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文赢哲</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山东工业职业学院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职业院校学生志愿服务赋能乡村振兴实践研究——“穗美学堂——1心1意5维并举”科技助农项目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袁扬</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徐玥</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山东工业职业学院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终身教育视阈下职业教育与社区教育的融合发展模式探究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王卫海</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山东工业职业学院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高职院校服务毕业生终身学习长效机制研究-以中医专业为例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侯养彪</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渭南职业技术学院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高职院校中药学专业数字化转型教学资源建设与应用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陈鹏</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渭南职业技术学院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关于中国特色老年教育增设传统医学自我养生保健课程必要性的实践研究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姚肖君</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渭南职业技术学院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基层中医药适宜技术推广实践研究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张晶晶</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渭南职业技术学院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职业教育在产教融合中的问题研究——以新疆应用职业技术学院为例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刘辉</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新疆应用职业技术学院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教育高质量发展中1+X证书制度的实践研究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卢哲</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新疆应用职业技术学院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校企合作加快推动1+X证书制度实施的实践研究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吴晨</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新疆应用职业技术学院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数字变革背景下职业教育融通社区教育发展的现实困境与改进路径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沈泓良</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新疆应用职业技术学院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产教融合背景下高职产业学院建设服务全民终身学习实践研究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惠晶</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新疆应用职业技术学院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职业院校推进国家“学分银行”的探索与实践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蒋定建</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克拉玛依职业技术学院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“终身学习”背景下实现乡村振兴的实践路径探索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骆云</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诸暨市职教中心</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地方高职院校社区化的困境及发展研究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范倩</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重庆轻工职业学院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高职院校服务退役军人继续教育研究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张松</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重庆轻工职业学院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中职学校并举实施学历教育和社会培训的实践研究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甘洪波</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安陆市中等职业技术学校</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职业院校与社区教育融通发展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赵海斌</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石家庄财经职业学院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职业教育与继续教育融合发展路径研究——以重庆电子工程职业学院为例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蔺朝莉</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重庆电子工程职业学院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典型特色高职院校赋能社区教育多维创新品牌项目的实践研究——以烟台汽车工程职业学院为例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张玲芬</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烟台汽车工程职业学院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高等职业教育与社区教育协同发展的路径研究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马晓伟</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烟台汽车工程职业学院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区域协同发展老年教育的实践研究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刘丽萍</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烟台汽车工程职业学院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全民终身学习背景下1+X证书制度实践研究-以烟台汽车工程职业学院为例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陈岩</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烟台汽车工程职业学院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职业院校开展老年教育服务策略研究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王丽君</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烟台汽车工程职业学院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终身学习视域下高职“职继协同”模式的研究与实践——以智能制造专业群为例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余娟</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烟台汽车工程职业学院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乡村振兴战略背景下职业院校服务全民终身学习的探索与实践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张天伟</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南阳农业职业学院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全民终身学习视域下地方高职院校服务企业培训的实践研究 ——以天门职业学院为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叶青青</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天门职业学院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城乡融合背景下新型农民工继续教育模式研究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阳军</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天门职业学院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铁路专业产教融合、校企合作“2+1”培养模式研究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张丽霞</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包头铁道职业技术学院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职业教育与社区教育融通发展的模式、途径、经验的实践研究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马芳</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包头铁道职业技术学院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职业院校终身职业技能培训长效机制的探索和实践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孙岿莉</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北京商贸学校（北京市SPF技术研究与推广中心）</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开展职业学校面向垦区基层在职人员职业培训的实践研究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王慧军</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黑龙江农垦职业学院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中职学校服务全民终身学习背景下乡村人才振兴的实践与研究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余进</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湖北省通山县职业教育中心</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辽宁金融职业学院与国风社区共建社区教育示范基地以促进职业教育融入社区治理实践研究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王洪明</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伏琳娜</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辽宁金融职业学院</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基于“七彩之道”微信平台的家校共育实践研究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乔洪波</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杨帆</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无锡汽车工程高等职业技术学校</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职业院校开展在岗提升培训的实践研究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王楠</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兰州资源环境职业技术大学</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职业学校与“家门口老年大学”融通发展的实践研究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陈新光</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东营市垦利区职业中等专业学校</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中职学校服务乡村振兴三种模式的特征、成效及困境研究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陈亚萍</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乳山市职业中等专业学校</w:t>
            </w:r>
          </w:p>
        </w:tc>
      </w:tr>
      <w:tr>
        <w:tblPrEx>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129</w:t>
            </w:r>
          </w:p>
        </w:tc>
        <w:tc>
          <w:tcPr>
            <w:tcW w:w="3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高等职业教育与社区教育协同发展的研究</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张千舸</w:t>
            </w:r>
          </w:p>
        </w:tc>
        <w:tc>
          <w:tcPr>
            <w:tcW w:w="33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河北交通职业技术学院</w:t>
            </w:r>
          </w:p>
        </w:tc>
      </w:tr>
      <w:tr>
        <w:tblPrEx>
          <w:tblCellMar>
            <w:top w:w="0" w:type="dxa"/>
            <w:left w:w="108" w:type="dxa"/>
            <w:bottom w:w="0" w:type="dxa"/>
            <w:right w:w="108" w:type="dxa"/>
          </w:tblCellMar>
        </w:tblPrEx>
        <w:trPr>
          <w:trHeight w:val="800" w:hRule="atLeast"/>
        </w:trPr>
        <w:tc>
          <w:tcPr>
            <w:tcW w:w="889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家校社协同共育理论研究与实践探索</w:t>
            </w:r>
          </w:p>
          <w:p>
            <w:pPr>
              <w:widowControl/>
              <w:jc w:val="center"/>
              <w:textAlignment w:val="center"/>
              <w:rPr>
                <w:rFonts w:ascii="宋体" w:hAnsi="宋体" w:eastAsia="宋体" w:cs="宋体"/>
                <w:b/>
                <w:bCs/>
                <w:color w:val="000000"/>
                <w:sz w:val="16"/>
                <w:szCs w:val="16"/>
              </w:rPr>
            </w:pPr>
            <w:r>
              <w:rPr>
                <w:rFonts w:hint="eastAsia" w:ascii="仿宋" w:hAnsi="仿宋" w:eastAsia="仿宋" w:cs="仿宋"/>
                <w:b/>
                <w:bCs/>
                <w:color w:val="000000"/>
                <w:kern w:val="0"/>
                <w:sz w:val="24"/>
                <w:szCs w:val="24"/>
                <w:lang w:bidi="ar"/>
              </w:rPr>
              <w:t>2023年度子课题申报名单</w:t>
            </w:r>
          </w:p>
        </w:tc>
      </w:tr>
      <w:tr>
        <w:tblPrEx>
          <w:tblCellMar>
            <w:top w:w="0" w:type="dxa"/>
            <w:left w:w="108" w:type="dxa"/>
            <w:bottom w:w="0" w:type="dxa"/>
            <w:right w:w="108" w:type="dxa"/>
          </w:tblCellMar>
        </w:tblPrEx>
        <w:trPr>
          <w:trHeight w:val="192" w:hRule="atLeast"/>
        </w:trPr>
        <w:tc>
          <w:tcPr>
            <w:tcW w:w="70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3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课题名称</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负责人</w:t>
            </w:r>
          </w:p>
        </w:tc>
        <w:tc>
          <w:tcPr>
            <w:tcW w:w="339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单位</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家校社协同构建农村留守儿童社会服务体系的实践研究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董雪峰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阜宁县芦蒲镇社区教育中心 </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家校社协同共育背景下班主任工作职责转变研究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董雪峰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阜宁县芦蒲镇社区教育中心 </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社区学院（校）在劳动教育中的家校社协同共育实践研究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庄杰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浙江省舟山市普陀区沈家门街道社区学院 </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家校社花木课程设计与开发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王笃亮  林建强</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浙江省长兴县泗安镇成人文化技术学校</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农村学校劳动教育家校社协同共育实践研究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蒋正军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江苏省淮安市洪泽区仁和社区教育中心  </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区域协同发展家庭教育的案例研究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王爱彬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如东县栟茶镇社区教育中心  </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“双减”背景下乡镇家校社协同共育体系建构研究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朱斌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句容市边城镇社区教育中心 </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“双减”背景下家校社协同共育体系建构研究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刘宇</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江苏省淮安市洪泽区西顺河社区教育中心</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中职课程思政教学中家校社协同共育模式实践路径研究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陈雷</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唐山市曹妃甸区职业技术教育中心</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区域推进数字化赋能校家社协同共育实践研究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宋守梅</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济南市槐荫区教育教学研究中心</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家委会、家长学校在家校社协同共育中的作用研究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杨波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山东省济南市槐荫区社区教育学院 </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暖阳行动：二孩时代“大宝”心育策略研究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陆安妍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浙江省嘉兴市嘉善县玉兰幼儿园</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三方联动：幼儿园“大宝”情绪调节的策略研究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罗小红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浙江省嘉兴市嘉善县玉兰幼儿园</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基于“智慧父母学堂”开展家校社协同育人的机制研究与实践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周金平</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杭州市临平区城西中心学校</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社区教育视角下家庭教育指导的机制研究与课程建设</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王中华</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江苏省泰州市海陵区城西街道社区教育中心</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家校社协同共育背景下社区学校服务家庭教育的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策略探析——以织里镇社区教育中心教育实践为例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施建荣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湖州市织里镇社区教育中心</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“南园父母成长营”：家校社协同共育中家长教育的机制研究与实践探索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陈春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南通市通州区南兴小学</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清廉家风在家校社协同育人中的作用机制的研究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李律平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长兴县吕山乡成人文化技术学校    </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社会传统习俗对家校社协同共育的影响及应对策略的研究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杨春明 周而元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庄河市社区教育学院 </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家校社协同育人社区教育课程研究——以长兴县林城镇为例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黄永丹</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长兴县林城镇成人文化技术学校</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三向赋能：家校社联动助推义务段学生生涯规划教育实践研究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王佳晨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上海理工大学附属嘉善实验学校 </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家校社协同育人模式的探索与实践----以深圳市户外亲子活动为例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吴晓辉</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深圳开放大学</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中小幼一体化家校社协同共育机制建设研究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夏远恒</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盐城市大丰区西团镇社区教育中心</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家校社协同共育中家长教育的机制研究与课程建设</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陈志良</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浙江省磐安县新城中心成人（社区）学校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家委会、家长学校在家校社协同共育中的作用研究</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——以上海市普陀区为例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徐文清</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上海市普陀区业余大学</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家校社协同：学伴小组探究式学习的实践研究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          ——以“数字菜园微耕农场“农旅文化教育为例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刘奇华</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宁波市镇海区澥浦镇成人中等文化技术学校</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学在西湖：全民终身学习背景下“善美社教”模式的区域实践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蒋晓</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杭州市西湖区社区学院</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中华优秀传统文化对家校社协同共育的实践研究</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       ——以启东开放大学为例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仇向华   吴宽宽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启东开放大学</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学习型组织在家校社协同共育中的作用研究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黄慧敏</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广州市番禺区广播电视大学</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构建“留守儿童”教育关爱机制实验与探索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石利彪</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浙江省湖州市长兴县洪桥镇成人文化技术学校</w:t>
            </w:r>
          </w:p>
        </w:tc>
      </w:tr>
      <w:tr>
        <w:tblPrEx>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家校社协同共育中家长教育的机制研究与课程建设</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谯宏 桂熙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成都市龙泉驿区社区教育中心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四川九商教育科技研究院</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大中小幼一体化家校社协同共育机制建设研究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张林毅</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南通开放大学</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适合教育视域下提升新市民家庭教育素养的策略研究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钱美玉</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南通市沿河桥小学</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妇女组织服务家校社协同共育的实践创新研究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戴冬燕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家校社协同推进高职学生职业生涯教育的路径研究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林程辉</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20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家校社协同推进学生职业生涯教育的策略与路径研究</w:t>
            </w:r>
            <w:r>
              <w:rPr>
                <w:rStyle w:val="12"/>
                <w:rFonts w:hint="eastAsia" w:ascii="仿宋" w:hAnsi="仿宋" w:eastAsia="仿宋" w:cs="仿宋"/>
                <w:sz w:val="21"/>
                <w:szCs w:val="21"/>
                <w:lang w:bidi="ar"/>
              </w:rPr>
              <w:t>-</w:t>
            </w:r>
            <w:r>
              <w:rPr>
                <w:rStyle w:val="13"/>
                <w:rFonts w:ascii="仿宋" w:hAnsi="仿宋" w:eastAsia="仿宋" w:cs="仿宋"/>
                <w:sz w:val="21"/>
                <w:szCs w:val="21"/>
                <w:lang w:bidi="ar"/>
              </w:rPr>
              <w:t xml:space="preserve">以航海职业教育为例 </w:t>
            </w:r>
            <w:r>
              <w:rPr>
                <w:rStyle w:val="12"/>
                <w:rFonts w:hint="eastAsia" w:ascii="仿宋" w:hAnsi="仿宋" w:eastAsia="仿宋" w:cs="仿宋"/>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骆海洋</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20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海岛非遗文化视角下家校社协同推进地方乡土文化传承策略研究 </w:t>
            </w:r>
            <w:r>
              <w:rPr>
                <w:rStyle w:val="12"/>
                <w:rFonts w:hint="eastAsia" w:ascii="仿宋" w:hAnsi="仿宋" w:eastAsia="仿宋" w:cs="仿宋"/>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邵瑶</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嵌入·共生：家校社协同推进学生职业生涯教育路径研究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王静飞</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家校社协同推进学生职业生涯教育的策略与路径研究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周红芬</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40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家校社协同视域下大学生体育教学联动发展机制的构建研究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夏燕波</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中华优秀传统文化滋养家校社协同共育研究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李倩</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浙江国际海运职业技术学院</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“双减”背景下家校社协同共育体系建构研究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于洪</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三亚市社区教育指导中心</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基于困境妇女需求的家校社协同共育服务体系研究--三亚个案研究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杨文娴</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三亚市社区教育指导中心</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家校社协同育人背景下成校本位的小幼祖辈家长教育实践与研究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王东杰</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宁波市镇海区九龙湖镇成人中等文化技术学校</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家校社协同推进中学生青春期教育的策略与路径研究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殷永胜</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济南市历下区盛华培训学校</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家校社协同推进地方乡土文化传承的策略研究—以广元市为例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张丽菊  邹松明</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广元开放大学</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“双减”背景下家校社协同共育体系建构研究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孙迎春</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湖北三峡职业技术学院</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中华优秀传统文化对家校社协同共育影响及推进策略研究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李承燕</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湖北三峡职业技术学院</w:t>
            </w:r>
          </w:p>
        </w:tc>
      </w:tr>
      <w:tr>
        <w:tblPrEx>
          <w:tblCellMar>
            <w:top w:w="0" w:type="dxa"/>
            <w:left w:w="108" w:type="dxa"/>
            <w:bottom w:w="0" w:type="dxa"/>
            <w:right w:w="108" w:type="dxa"/>
          </w:tblCellMar>
        </w:tblPrEx>
        <w:trPr>
          <w:trHeight w:val="1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数字化时代背景下家校社协同共育研究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李风雷</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湖北三峡职业技术学院</w:t>
            </w:r>
          </w:p>
        </w:tc>
      </w:tr>
    </w:tbl>
    <w:p>
      <w:pPr>
        <w:widowControl/>
        <w:jc w:val="left"/>
        <w:rPr>
          <w:rFonts w:ascii="仿宋" w:hAnsi="仿宋" w:eastAsia="仿宋"/>
          <w:b/>
          <w:bCs/>
          <w:sz w:val="30"/>
          <w:szCs w:val="30"/>
        </w:rPr>
      </w:pPr>
    </w:p>
    <w:p>
      <w:pPr>
        <w:pStyle w:val="2"/>
        <w:rPr>
          <w:rFonts w:ascii="仿宋" w:hAnsi="仿宋" w:eastAsia="仿宋"/>
          <w:b/>
          <w:bCs/>
          <w:sz w:val="30"/>
          <w:szCs w:val="30"/>
        </w:rPr>
      </w:pPr>
    </w:p>
    <w:p>
      <w:pPr>
        <w:pStyle w:val="2"/>
        <w:rPr>
          <w:rFonts w:ascii="仿宋" w:hAnsi="仿宋" w:eastAsia="仿宋"/>
          <w:b/>
          <w:bCs/>
          <w:sz w:val="30"/>
          <w:szCs w:val="30"/>
        </w:rPr>
      </w:pPr>
    </w:p>
    <w:p>
      <w:pPr>
        <w:pStyle w:val="2"/>
        <w:rPr>
          <w:rFonts w:ascii="仿宋" w:hAnsi="仿宋" w:eastAsia="仿宋"/>
          <w:b/>
          <w:bCs/>
          <w:sz w:val="30"/>
          <w:szCs w:val="30"/>
        </w:rPr>
      </w:pPr>
    </w:p>
    <w:p>
      <w:pPr>
        <w:rPr>
          <w:rFonts w:hint="eastAsia" w:ascii="仿宋_GB2312" w:hAnsi="仿宋" w:eastAsia="仿宋_GB2312" w:cs="仿宋"/>
          <w:sz w:val="30"/>
          <w:szCs w:val="30"/>
        </w:rPr>
      </w:pPr>
    </w:p>
    <w:p>
      <w:pPr>
        <w:rPr>
          <w:rFonts w:hint="eastAsia" w:ascii="仿宋_GB2312" w:hAnsi="仿宋" w:eastAsia="仿宋_GB2312" w:cs="仿宋"/>
          <w:sz w:val="30"/>
          <w:szCs w:val="30"/>
        </w:rPr>
      </w:pPr>
    </w:p>
    <w:p>
      <w:pPr>
        <w:rPr>
          <w:rFonts w:hint="eastAsia" w:ascii="仿宋_GB2312" w:hAnsi="仿宋" w:eastAsia="仿宋_GB2312" w:cs="仿宋"/>
          <w:sz w:val="30"/>
          <w:szCs w:val="30"/>
        </w:rPr>
      </w:pPr>
    </w:p>
    <w:p>
      <w:pPr>
        <w:rPr>
          <w:rFonts w:hint="eastAsia" w:ascii="仿宋_GB2312" w:hAnsi="仿宋" w:eastAsia="仿宋_GB2312" w:cs="仿宋"/>
          <w:sz w:val="30"/>
          <w:szCs w:val="30"/>
        </w:rPr>
      </w:pPr>
    </w:p>
    <w:p>
      <w:pPr>
        <w:rPr>
          <w:rFonts w:hint="eastAsia" w:ascii="仿宋_GB2312" w:hAnsi="仿宋" w:eastAsia="仿宋_GB2312" w:cs="仿宋"/>
          <w:sz w:val="30"/>
          <w:szCs w:val="30"/>
        </w:rPr>
      </w:pPr>
      <w:r>
        <w:rPr>
          <w:rFonts w:hint="eastAsia" w:ascii="仿宋_GB2312" w:hAnsi="仿宋" w:eastAsia="仿宋_GB2312" w:cs="仿宋"/>
          <w:sz w:val="30"/>
          <w:szCs w:val="30"/>
        </w:rPr>
        <w:t>附件2</w:t>
      </w:r>
    </w:p>
    <w:p>
      <w:pPr>
        <w:ind w:firstLine="600"/>
        <w:jc w:val="center"/>
        <w:rPr>
          <w:rFonts w:ascii="宋体" w:hAnsi="宋体" w:eastAsia="宋体" w:cs="仿宋"/>
          <w:b/>
          <w:bCs/>
          <w:sz w:val="30"/>
          <w:szCs w:val="30"/>
        </w:rPr>
      </w:pPr>
      <w:r>
        <w:rPr>
          <w:rFonts w:hint="eastAsia" w:ascii="宋体" w:hAnsi="宋体" w:eastAsia="宋体" w:cs="仿宋"/>
          <w:b/>
          <w:bCs/>
          <w:sz w:val="30"/>
          <w:szCs w:val="30"/>
        </w:rPr>
        <w:t>报名回执</w:t>
      </w:r>
    </w:p>
    <w:p>
      <w:pPr>
        <w:ind w:firstLine="600"/>
        <w:rPr>
          <w:rFonts w:ascii="仿宋" w:hAnsi="仿宋" w:eastAsia="仿宋" w:cs="仿宋"/>
          <w:sz w:val="30"/>
          <w:szCs w:val="3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1271"/>
        <w:gridCol w:w="1939"/>
        <w:gridCol w:w="165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gridSpan w:val="2"/>
            <w:vAlign w:val="center"/>
          </w:tcPr>
          <w:p>
            <w:pPr>
              <w:ind w:firstLine="600"/>
              <w:rPr>
                <w:rFonts w:ascii="仿宋" w:hAnsi="仿宋" w:eastAsia="仿宋" w:cs="仿宋"/>
                <w:kern w:val="0"/>
                <w:sz w:val="30"/>
                <w:szCs w:val="30"/>
              </w:rPr>
            </w:pPr>
            <w:r>
              <w:rPr>
                <w:rFonts w:hint="eastAsia" w:ascii="仿宋" w:hAnsi="仿宋" w:eastAsia="仿宋" w:cs="仿宋"/>
                <w:sz w:val="30"/>
                <w:szCs w:val="30"/>
              </w:rPr>
              <w:t>单位名称</w:t>
            </w:r>
          </w:p>
        </w:tc>
        <w:tc>
          <w:tcPr>
            <w:tcW w:w="5255" w:type="dxa"/>
            <w:gridSpan w:val="3"/>
            <w:vAlign w:val="center"/>
          </w:tcPr>
          <w:p>
            <w:pPr>
              <w:ind w:firstLine="600"/>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gridSpan w:val="2"/>
            <w:vAlign w:val="center"/>
          </w:tcPr>
          <w:p>
            <w:pPr>
              <w:ind w:firstLine="600"/>
              <w:rPr>
                <w:rFonts w:ascii="仿宋" w:hAnsi="仿宋" w:eastAsia="仿宋" w:cs="仿宋"/>
                <w:kern w:val="0"/>
                <w:sz w:val="30"/>
                <w:szCs w:val="30"/>
              </w:rPr>
            </w:pPr>
            <w:r>
              <w:rPr>
                <w:rFonts w:hint="eastAsia" w:ascii="仿宋" w:hAnsi="仿宋" w:eastAsia="仿宋" w:cs="仿宋"/>
                <w:sz w:val="30"/>
                <w:szCs w:val="30"/>
              </w:rPr>
              <w:t>纳税人识别号</w:t>
            </w:r>
          </w:p>
        </w:tc>
        <w:tc>
          <w:tcPr>
            <w:tcW w:w="5255" w:type="dxa"/>
            <w:gridSpan w:val="3"/>
            <w:vAlign w:val="center"/>
          </w:tcPr>
          <w:p>
            <w:pPr>
              <w:ind w:firstLine="600"/>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gridSpan w:val="2"/>
            <w:vAlign w:val="center"/>
          </w:tcPr>
          <w:p>
            <w:pPr>
              <w:ind w:firstLine="600"/>
              <w:rPr>
                <w:rFonts w:ascii="仿宋" w:hAnsi="仿宋" w:eastAsia="仿宋" w:cs="仿宋"/>
                <w:kern w:val="0"/>
                <w:sz w:val="30"/>
                <w:szCs w:val="30"/>
              </w:rPr>
            </w:pPr>
            <w:r>
              <w:rPr>
                <w:rFonts w:hint="eastAsia" w:ascii="仿宋" w:hAnsi="仿宋" w:eastAsia="仿宋" w:cs="仿宋"/>
                <w:sz w:val="30"/>
                <w:szCs w:val="30"/>
              </w:rPr>
              <w:t>发票内容</w:t>
            </w:r>
          </w:p>
        </w:tc>
        <w:tc>
          <w:tcPr>
            <w:tcW w:w="5255" w:type="dxa"/>
            <w:gridSpan w:val="3"/>
            <w:vAlign w:val="center"/>
          </w:tcPr>
          <w:p>
            <w:pPr>
              <w:ind w:firstLine="600"/>
              <w:jc w:val="center"/>
              <w:rPr>
                <w:rFonts w:ascii="仿宋" w:hAnsi="仿宋" w:eastAsia="仿宋" w:cs="仿宋"/>
                <w:kern w:val="0"/>
                <w:sz w:val="30"/>
                <w:szCs w:val="30"/>
              </w:rPr>
            </w:pPr>
            <w:r>
              <w:rPr>
                <w:rFonts w:hint="eastAsia" w:ascii="仿宋" w:hAnsi="仿宋" w:eastAsia="仿宋" w:cs="仿宋"/>
                <w:kern w:val="0"/>
                <w:sz w:val="30"/>
                <w:szCs w:val="30"/>
              </w:rPr>
              <w:t>培训费/会议费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center"/>
          </w:tcPr>
          <w:p>
            <w:pPr>
              <w:jc w:val="center"/>
              <w:rPr>
                <w:rFonts w:ascii="仿宋" w:hAnsi="仿宋" w:eastAsia="仿宋" w:cs="仿宋"/>
                <w:sz w:val="30"/>
                <w:szCs w:val="30"/>
              </w:rPr>
            </w:pPr>
            <w:r>
              <w:rPr>
                <w:rFonts w:hint="eastAsia" w:ascii="仿宋" w:hAnsi="仿宋" w:eastAsia="仿宋" w:cs="仿宋"/>
                <w:sz w:val="30"/>
                <w:szCs w:val="30"/>
              </w:rPr>
              <w:t>参会人员</w:t>
            </w:r>
          </w:p>
          <w:p>
            <w:pPr>
              <w:jc w:val="center"/>
              <w:rPr>
                <w:rFonts w:ascii="仿宋" w:hAnsi="仿宋" w:eastAsia="仿宋" w:cs="仿宋"/>
                <w:kern w:val="0"/>
                <w:sz w:val="30"/>
                <w:szCs w:val="30"/>
              </w:rPr>
            </w:pPr>
            <w:r>
              <w:rPr>
                <w:rFonts w:hint="eastAsia" w:ascii="仿宋" w:hAnsi="仿宋" w:eastAsia="仿宋" w:cs="仿宋"/>
                <w:sz w:val="30"/>
                <w:szCs w:val="30"/>
              </w:rPr>
              <w:t>姓名</w:t>
            </w:r>
          </w:p>
        </w:tc>
        <w:tc>
          <w:tcPr>
            <w:tcW w:w="1271" w:type="dxa"/>
            <w:vAlign w:val="center"/>
          </w:tcPr>
          <w:p>
            <w:pPr>
              <w:jc w:val="center"/>
              <w:rPr>
                <w:rFonts w:ascii="仿宋" w:hAnsi="仿宋" w:eastAsia="仿宋" w:cs="仿宋"/>
                <w:kern w:val="0"/>
                <w:sz w:val="30"/>
                <w:szCs w:val="30"/>
              </w:rPr>
            </w:pPr>
            <w:r>
              <w:rPr>
                <w:rFonts w:hint="eastAsia" w:ascii="仿宋" w:hAnsi="仿宋" w:eastAsia="仿宋" w:cs="仿宋"/>
                <w:sz w:val="30"/>
                <w:szCs w:val="30"/>
              </w:rPr>
              <w:t>职务</w:t>
            </w:r>
          </w:p>
        </w:tc>
        <w:tc>
          <w:tcPr>
            <w:tcW w:w="1939" w:type="dxa"/>
            <w:vAlign w:val="center"/>
          </w:tcPr>
          <w:p>
            <w:pPr>
              <w:jc w:val="center"/>
              <w:rPr>
                <w:rFonts w:ascii="仿宋" w:hAnsi="仿宋" w:eastAsia="仿宋" w:cs="仿宋"/>
                <w:kern w:val="0"/>
                <w:sz w:val="30"/>
                <w:szCs w:val="30"/>
              </w:rPr>
            </w:pPr>
            <w:r>
              <w:rPr>
                <w:rFonts w:hint="eastAsia" w:ascii="仿宋" w:hAnsi="仿宋" w:eastAsia="仿宋" w:cs="仿宋"/>
                <w:sz w:val="30"/>
                <w:szCs w:val="30"/>
              </w:rPr>
              <w:t>是否单住</w:t>
            </w:r>
          </w:p>
        </w:tc>
        <w:tc>
          <w:tcPr>
            <w:tcW w:w="1658" w:type="dxa"/>
            <w:vAlign w:val="center"/>
          </w:tcPr>
          <w:p>
            <w:pPr>
              <w:jc w:val="center"/>
              <w:rPr>
                <w:rFonts w:ascii="仿宋" w:hAnsi="仿宋" w:eastAsia="仿宋" w:cs="仿宋"/>
                <w:kern w:val="0"/>
                <w:sz w:val="30"/>
                <w:szCs w:val="30"/>
              </w:rPr>
            </w:pPr>
            <w:r>
              <w:rPr>
                <w:rFonts w:hint="eastAsia" w:ascii="仿宋" w:hAnsi="仿宋" w:eastAsia="仿宋" w:cs="仿宋"/>
                <w:sz w:val="30"/>
                <w:szCs w:val="30"/>
              </w:rPr>
              <w:t>联系电话</w:t>
            </w:r>
          </w:p>
        </w:tc>
        <w:tc>
          <w:tcPr>
            <w:tcW w:w="1658" w:type="dxa"/>
            <w:vAlign w:val="center"/>
          </w:tcPr>
          <w:p>
            <w:pPr>
              <w:ind w:firstLine="600"/>
              <w:jc w:val="center"/>
              <w:rPr>
                <w:rFonts w:ascii="仿宋" w:hAnsi="仿宋" w:eastAsia="仿宋" w:cs="仿宋"/>
                <w:kern w:val="0"/>
                <w:sz w:val="30"/>
                <w:szCs w:val="30"/>
              </w:rPr>
            </w:pPr>
            <w:r>
              <w:rPr>
                <w:rFonts w:hint="eastAsia" w:ascii="仿宋" w:hAnsi="仿宋" w:eastAsia="仿宋" w:cs="仿宋"/>
                <w:sz w:val="30"/>
                <w:szCs w:val="30"/>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center"/>
          </w:tcPr>
          <w:p>
            <w:pPr>
              <w:ind w:firstLine="600"/>
              <w:jc w:val="center"/>
              <w:rPr>
                <w:rFonts w:ascii="仿宋" w:hAnsi="仿宋" w:eastAsia="仿宋" w:cs="仿宋"/>
                <w:kern w:val="0"/>
                <w:sz w:val="30"/>
                <w:szCs w:val="30"/>
              </w:rPr>
            </w:pPr>
          </w:p>
        </w:tc>
        <w:tc>
          <w:tcPr>
            <w:tcW w:w="1271" w:type="dxa"/>
            <w:vAlign w:val="center"/>
          </w:tcPr>
          <w:p>
            <w:pPr>
              <w:ind w:firstLine="600"/>
              <w:jc w:val="center"/>
              <w:rPr>
                <w:rFonts w:ascii="仿宋" w:hAnsi="仿宋" w:eastAsia="仿宋" w:cs="仿宋"/>
                <w:kern w:val="0"/>
                <w:sz w:val="30"/>
                <w:szCs w:val="30"/>
              </w:rPr>
            </w:pPr>
          </w:p>
        </w:tc>
        <w:tc>
          <w:tcPr>
            <w:tcW w:w="1939" w:type="dxa"/>
            <w:vAlign w:val="center"/>
          </w:tcPr>
          <w:p>
            <w:pPr>
              <w:ind w:firstLine="600"/>
              <w:jc w:val="center"/>
              <w:rPr>
                <w:rFonts w:ascii="仿宋" w:hAnsi="仿宋" w:eastAsia="仿宋" w:cs="仿宋"/>
                <w:kern w:val="0"/>
                <w:sz w:val="30"/>
                <w:szCs w:val="30"/>
              </w:rPr>
            </w:pPr>
          </w:p>
        </w:tc>
        <w:tc>
          <w:tcPr>
            <w:tcW w:w="1658" w:type="dxa"/>
            <w:vAlign w:val="center"/>
          </w:tcPr>
          <w:p>
            <w:pPr>
              <w:ind w:firstLine="600"/>
              <w:jc w:val="center"/>
              <w:rPr>
                <w:rFonts w:ascii="仿宋" w:hAnsi="仿宋" w:eastAsia="仿宋" w:cs="仿宋"/>
                <w:kern w:val="0"/>
                <w:sz w:val="30"/>
                <w:szCs w:val="30"/>
              </w:rPr>
            </w:pPr>
          </w:p>
        </w:tc>
        <w:tc>
          <w:tcPr>
            <w:tcW w:w="1658" w:type="dxa"/>
            <w:vAlign w:val="center"/>
          </w:tcPr>
          <w:p>
            <w:pPr>
              <w:ind w:firstLine="600"/>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center"/>
          </w:tcPr>
          <w:p>
            <w:pPr>
              <w:ind w:firstLine="600"/>
              <w:jc w:val="center"/>
              <w:rPr>
                <w:rFonts w:ascii="仿宋" w:hAnsi="仿宋" w:eastAsia="仿宋" w:cs="仿宋"/>
                <w:kern w:val="0"/>
                <w:sz w:val="30"/>
                <w:szCs w:val="30"/>
              </w:rPr>
            </w:pPr>
          </w:p>
        </w:tc>
        <w:tc>
          <w:tcPr>
            <w:tcW w:w="1271" w:type="dxa"/>
            <w:vAlign w:val="center"/>
          </w:tcPr>
          <w:p>
            <w:pPr>
              <w:ind w:firstLine="600"/>
              <w:jc w:val="center"/>
              <w:rPr>
                <w:rFonts w:ascii="仿宋" w:hAnsi="仿宋" w:eastAsia="仿宋" w:cs="仿宋"/>
                <w:kern w:val="0"/>
                <w:sz w:val="30"/>
                <w:szCs w:val="30"/>
              </w:rPr>
            </w:pPr>
          </w:p>
        </w:tc>
        <w:tc>
          <w:tcPr>
            <w:tcW w:w="1939" w:type="dxa"/>
            <w:vAlign w:val="center"/>
          </w:tcPr>
          <w:p>
            <w:pPr>
              <w:ind w:firstLine="600"/>
              <w:jc w:val="center"/>
              <w:rPr>
                <w:rFonts w:ascii="仿宋" w:hAnsi="仿宋" w:eastAsia="仿宋" w:cs="仿宋"/>
                <w:kern w:val="0"/>
                <w:sz w:val="30"/>
                <w:szCs w:val="30"/>
              </w:rPr>
            </w:pPr>
          </w:p>
        </w:tc>
        <w:tc>
          <w:tcPr>
            <w:tcW w:w="1658" w:type="dxa"/>
            <w:vAlign w:val="center"/>
          </w:tcPr>
          <w:p>
            <w:pPr>
              <w:ind w:firstLine="600"/>
              <w:jc w:val="center"/>
              <w:rPr>
                <w:rFonts w:ascii="仿宋" w:hAnsi="仿宋" w:eastAsia="仿宋" w:cs="仿宋"/>
                <w:kern w:val="0"/>
                <w:sz w:val="30"/>
                <w:szCs w:val="30"/>
              </w:rPr>
            </w:pPr>
          </w:p>
        </w:tc>
        <w:tc>
          <w:tcPr>
            <w:tcW w:w="1658" w:type="dxa"/>
            <w:vAlign w:val="center"/>
          </w:tcPr>
          <w:p>
            <w:pPr>
              <w:ind w:firstLine="600"/>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center"/>
          </w:tcPr>
          <w:p>
            <w:pPr>
              <w:ind w:firstLine="600"/>
              <w:jc w:val="center"/>
              <w:rPr>
                <w:rFonts w:ascii="仿宋" w:hAnsi="仿宋" w:eastAsia="仿宋" w:cs="仿宋"/>
                <w:kern w:val="0"/>
                <w:sz w:val="30"/>
                <w:szCs w:val="30"/>
              </w:rPr>
            </w:pPr>
          </w:p>
        </w:tc>
        <w:tc>
          <w:tcPr>
            <w:tcW w:w="1271" w:type="dxa"/>
            <w:vAlign w:val="center"/>
          </w:tcPr>
          <w:p>
            <w:pPr>
              <w:ind w:firstLine="600"/>
              <w:jc w:val="center"/>
              <w:rPr>
                <w:rFonts w:ascii="仿宋" w:hAnsi="仿宋" w:eastAsia="仿宋" w:cs="仿宋"/>
                <w:kern w:val="0"/>
                <w:sz w:val="30"/>
                <w:szCs w:val="30"/>
              </w:rPr>
            </w:pPr>
          </w:p>
        </w:tc>
        <w:tc>
          <w:tcPr>
            <w:tcW w:w="1939" w:type="dxa"/>
            <w:vAlign w:val="center"/>
          </w:tcPr>
          <w:p>
            <w:pPr>
              <w:ind w:firstLine="600"/>
              <w:jc w:val="center"/>
              <w:rPr>
                <w:rFonts w:ascii="仿宋" w:hAnsi="仿宋" w:eastAsia="仿宋" w:cs="仿宋"/>
                <w:kern w:val="0"/>
                <w:sz w:val="30"/>
                <w:szCs w:val="30"/>
              </w:rPr>
            </w:pPr>
          </w:p>
        </w:tc>
        <w:tc>
          <w:tcPr>
            <w:tcW w:w="1658" w:type="dxa"/>
            <w:vAlign w:val="center"/>
          </w:tcPr>
          <w:p>
            <w:pPr>
              <w:ind w:firstLine="600"/>
              <w:jc w:val="center"/>
              <w:rPr>
                <w:rFonts w:ascii="仿宋" w:hAnsi="仿宋" w:eastAsia="仿宋" w:cs="仿宋"/>
                <w:kern w:val="0"/>
                <w:sz w:val="30"/>
                <w:szCs w:val="30"/>
              </w:rPr>
            </w:pPr>
          </w:p>
        </w:tc>
        <w:tc>
          <w:tcPr>
            <w:tcW w:w="1658" w:type="dxa"/>
            <w:vAlign w:val="center"/>
          </w:tcPr>
          <w:p>
            <w:pPr>
              <w:ind w:firstLine="600"/>
              <w:jc w:val="center"/>
              <w:rPr>
                <w:rFonts w:ascii="仿宋" w:hAnsi="仿宋" w:eastAsia="仿宋" w:cs="仿宋"/>
                <w:kern w:val="0"/>
                <w:sz w:val="30"/>
                <w:szCs w:val="30"/>
              </w:rPr>
            </w:pPr>
          </w:p>
        </w:tc>
      </w:tr>
    </w:tbl>
    <w:p>
      <w:pPr>
        <w:ind w:firstLine="600" w:firstLineChars="200"/>
        <w:rPr>
          <w:rFonts w:ascii="仿宋" w:hAnsi="仿宋" w:eastAsia="仿宋" w:cs="仿宋"/>
          <w:sz w:val="30"/>
          <w:szCs w:val="30"/>
        </w:rPr>
      </w:pPr>
    </w:p>
    <w:p>
      <w:pPr>
        <w:widowControl/>
        <w:jc w:val="left"/>
        <w:rPr>
          <w:rFonts w:ascii="仿宋" w:hAnsi="仿宋" w:eastAsia="仿宋"/>
          <w:sz w:val="30"/>
          <w:szCs w:val="30"/>
        </w:rPr>
      </w:pPr>
    </w:p>
    <w:sectPr>
      <w:footerReference r:id="rId4" w:type="first"/>
      <w:footerReference r:id="rId3" w:type="default"/>
      <w:pgSz w:w="11906" w:h="16838"/>
      <w:pgMar w:top="1440" w:right="1800" w:bottom="1440" w:left="1800" w:header="851" w:footer="992" w:gutter="0"/>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92AE0759-49AB-4BF4-9258-420DD4A1A689}"/>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00B775DF-2B15-4371-844E-006BAD34EB9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2687146"/>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6007755"/>
      <w:docPartObj>
        <w:docPartGallery w:val="autotext"/>
      </w:docPartObj>
    </w:sdtPr>
    <w:sdtContent>
      <w:sdt>
        <w:sdtPr>
          <w:id w:val="-1875683396"/>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kY2Q1N2EwM2JkZjU3ODZiNTQxYTI2MzdhZDBlYzcifQ=="/>
  </w:docVars>
  <w:rsids>
    <w:rsidRoot w:val="00F92F08"/>
    <w:rsid w:val="00130F6C"/>
    <w:rsid w:val="00174BFA"/>
    <w:rsid w:val="00251BCC"/>
    <w:rsid w:val="00320C5F"/>
    <w:rsid w:val="003265F6"/>
    <w:rsid w:val="003D04EE"/>
    <w:rsid w:val="0053248D"/>
    <w:rsid w:val="00595255"/>
    <w:rsid w:val="00655116"/>
    <w:rsid w:val="00700124"/>
    <w:rsid w:val="00785FC6"/>
    <w:rsid w:val="00796C9B"/>
    <w:rsid w:val="007C65B9"/>
    <w:rsid w:val="007E18AA"/>
    <w:rsid w:val="0083732A"/>
    <w:rsid w:val="008F363A"/>
    <w:rsid w:val="00B05B35"/>
    <w:rsid w:val="00B113A8"/>
    <w:rsid w:val="00B37BC5"/>
    <w:rsid w:val="00C54A4B"/>
    <w:rsid w:val="00D22441"/>
    <w:rsid w:val="00E43D92"/>
    <w:rsid w:val="00F92F08"/>
    <w:rsid w:val="04E02F88"/>
    <w:rsid w:val="072766F5"/>
    <w:rsid w:val="0EBB06EC"/>
    <w:rsid w:val="1FAD0CAB"/>
    <w:rsid w:val="248A31BA"/>
    <w:rsid w:val="25050906"/>
    <w:rsid w:val="252B603D"/>
    <w:rsid w:val="26F83F35"/>
    <w:rsid w:val="295C1BFA"/>
    <w:rsid w:val="2AC15004"/>
    <w:rsid w:val="32FC617C"/>
    <w:rsid w:val="342F5CDB"/>
    <w:rsid w:val="35044969"/>
    <w:rsid w:val="35A75364"/>
    <w:rsid w:val="3A482C7D"/>
    <w:rsid w:val="3C0646B8"/>
    <w:rsid w:val="3D1E4B3E"/>
    <w:rsid w:val="411C7C91"/>
    <w:rsid w:val="435B43F6"/>
    <w:rsid w:val="475A7311"/>
    <w:rsid w:val="4C8C75E9"/>
    <w:rsid w:val="4E363FEB"/>
    <w:rsid w:val="511753BD"/>
    <w:rsid w:val="51312C3A"/>
    <w:rsid w:val="56E95E73"/>
    <w:rsid w:val="570D7C94"/>
    <w:rsid w:val="5AEF73FB"/>
    <w:rsid w:val="65EF2392"/>
    <w:rsid w:val="6B2E4E43"/>
    <w:rsid w:val="6B673479"/>
    <w:rsid w:val="6EF20050"/>
    <w:rsid w:val="75B87483"/>
    <w:rsid w:val="77D6080C"/>
    <w:rsid w:val="783E2C24"/>
    <w:rsid w:val="7B2C57EF"/>
    <w:rsid w:val="7D6F267E"/>
    <w:rsid w:val="7F54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link w:val="11"/>
    <w:semiHidden/>
    <w:unhideWhenUsed/>
    <w:qFormat/>
    <w:uiPriority w:val="99"/>
    <w:pPr>
      <w:ind w:left="100" w:leftChars="2500"/>
    </w:pPr>
  </w:style>
  <w:style w:type="paragraph" w:styleId="4">
    <w:name w:val="footer"/>
    <w:basedOn w:val="1"/>
    <w:link w:val="15"/>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日期 字符"/>
    <w:basedOn w:val="9"/>
    <w:link w:val="3"/>
    <w:semiHidden/>
    <w:qFormat/>
    <w:uiPriority w:val="99"/>
  </w:style>
  <w:style w:type="character" w:customStyle="1" w:styleId="12">
    <w:name w:val="font61"/>
    <w:basedOn w:val="9"/>
    <w:qFormat/>
    <w:uiPriority w:val="0"/>
    <w:rPr>
      <w:rFonts w:ascii="Calibri" w:hAnsi="Calibri" w:cs="Calibri"/>
      <w:color w:val="000000"/>
      <w:sz w:val="16"/>
      <w:szCs w:val="16"/>
      <w:u w:val="none"/>
    </w:rPr>
  </w:style>
  <w:style w:type="character" w:customStyle="1" w:styleId="13">
    <w:name w:val="font11"/>
    <w:basedOn w:val="9"/>
    <w:qFormat/>
    <w:uiPriority w:val="0"/>
    <w:rPr>
      <w:rFonts w:hint="eastAsia" w:ascii="宋体" w:hAnsi="宋体" w:eastAsia="宋体" w:cs="宋体"/>
      <w:color w:val="000000"/>
      <w:sz w:val="16"/>
      <w:szCs w:val="16"/>
      <w:u w:val="none"/>
    </w:rPr>
  </w:style>
  <w:style w:type="character" w:customStyle="1" w:styleId="14">
    <w:name w:val="font21"/>
    <w:basedOn w:val="9"/>
    <w:qFormat/>
    <w:uiPriority w:val="0"/>
    <w:rPr>
      <w:rFonts w:hint="eastAsia" w:ascii="宋体" w:hAnsi="宋体" w:eastAsia="宋体" w:cs="宋体"/>
      <w:color w:val="000000"/>
      <w:sz w:val="21"/>
      <w:szCs w:val="21"/>
      <w:u w:val="none"/>
    </w:rPr>
  </w:style>
  <w:style w:type="character" w:customStyle="1" w:styleId="15">
    <w:name w:val="页脚 字符"/>
    <w:basedOn w:val="9"/>
    <w:link w:val="4"/>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32DED-7E07-4AE5-921A-F4EA9139C338}">
  <ds:schemaRefs/>
</ds:datastoreItem>
</file>

<file path=docProps/app.xml><?xml version="1.0" encoding="utf-8"?>
<Properties xmlns="http://schemas.openxmlformats.org/officeDocument/2006/extended-properties" xmlns:vt="http://schemas.openxmlformats.org/officeDocument/2006/docPropsVTypes">
  <Template>Normal</Template>
  <Pages>16</Pages>
  <Words>1925</Words>
  <Characters>10973</Characters>
  <Lines>91</Lines>
  <Paragraphs>25</Paragraphs>
  <TotalTime>26</TotalTime>
  <ScaleCrop>false</ScaleCrop>
  <LinksUpToDate>false</LinksUpToDate>
  <CharactersWithSpaces>12873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2022-11-21T02:38:00Z</dcterms:created>
  <dc:creator>罗 为</dc:creator>
  <cp:lastModifiedBy>LQF。</cp:lastModifiedBy>
  <dcterms:modified xsi:type="dcterms:W3CDTF">2023-11-22T06:06:37Z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52F99B26822044FE9753785AC2D162E3_13</vt:lpwstr>
  </property>
</Properties>
</file>