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方正小标宋简体" w:hAnsi="方正小标宋简体" w:eastAsia="方正小标宋简体" w:cs="方正小标宋简体"/>
          <w:bCs/>
          <w:color w:val="000000"/>
          <w:sz w:val="30"/>
          <w:szCs w:val="30"/>
        </w:rPr>
      </w:pPr>
      <w:r>
        <w:rPr>
          <w:rFonts w:hint="eastAsia" w:ascii="黑体" w:eastAsia="黑体"/>
          <w:color w:val="000000"/>
          <w:sz w:val="28"/>
          <w:szCs w:val="28"/>
        </w:rPr>
        <w:t>附件1</w:t>
      </w:r>
    </w:p>
    <w:p>
      <w:pPr>
        <w:widowControl/>
        <w:spacing w:line="520" w:lineRule="exact"/>
        <w:jc w:val="center"/>
        <w:rPr>
          <w:rFonts w:hint="eastAsia" w:ascii="方正小标宋_GBK" w:hAnsi="方正小标宋_GBK" w:eastAsia="方正小标宋_GBK" w:cs="方正小标宋_GBK"/>
          <w:bCs/>
          <w:color w:val="000000"/>
          <w:sz w:val="44"/>
          <w:szCs w:val="44"/>
        </w:rPr>
      </w:pPr>
      <w:r>
        <w:rPr>
          <w:rFonts w:hint="eastAsia" w:ascii="方正小标宋简体" w:hAnsi="宋体" w:eastAsia="方正小标宋简体"/>
          <w:bCs/>
          <w:color w:val="000000"/>
          <w:sz w:val="44"/>
          <w:szCs w:val="44"/>
        </w:rPr>
        <w:t>2023～2024学年第二学期学习贯彻党的二十大精神党员发展对象</w:t>
      </w:r>
      <w:r>
        <w:rPr>
          <w:rFonts w:hint="eastAsia" w:ascii="方正小标宋_GBK" w:hAnsi="方正小标宋_GBK" w:eastAsia="方正小标宋_GBK" w:cs="方正小标宋_GBK"/>
          <w:color w:val="000000"/>
          <w:sz w:val="44"/>
          <w:szCs w:val="44"/>
        </w:rPr>
        <w:t>网络必修</w:t>
      </w:r>
      <w:r>
        <w:rPr>
          <w:rFonts w:hint="eastAsia" w:ascii="方正小标宋简体" w:hAnsi="宋体" w:eastAsia="方正小标宋简体"/>
          <w:bCs/>
          <w:color w:val="000000"/>
          <w:sz w:val="44"/>
          <w:szCs w:val="44"/>
        </w:rPr>
        <w:t>课程表</w:t>
      </w:r>
    </w:p>
    <w:tbl>
      <w:tblPr>
        <w:tblStyle w:val="3"/>
        <w:tblW w:w="5579" w:type="pct"/>
        <w:jc w:val="center"/>
        <w:tblLayout w:type="fixed"/>
        <w:tblCellMar>
          <w:top w:w="0" w:type="dxa"/>
          <w:left w:w="108" w:type="dxa"/>
          <w:bottom w:w="0" w:type="dxa"/>
          <w:right w:w="108" w:type="dxa"/>
        </w:tblCellMar>
      </w:tblPr>
      <w:tblGrid>
        <w:gridCol w:w="250"/>
        <w:gridCol w:w="3994"/>
        <w:gridCol w:w="526"/>
        <w:gridCol w:w="469"/>
        <w:gridCol w:w="501"/>
        <w:gridCol w:w="3518"/>
        <w:gridCol w:w="251"/>
      </w:tblGrid>
      <w:tr>
        <w:tblPrEx>
          <w:tblCellMar>
            <w:top w:w="0" w:type="dxa"/>
            <w:left w:w="108" w:type="dxa"/>
            <w:bottom w:w="0" w:type="dxa"/>
            <w:right w:w="108" w:type="dxa"/>
          </w:tblCellMar>
        </w:tblPrEx>
        <w:trPr>
          <w:gridBefore w:val="1"/>
          <w:wBefore w:w="264" w:type="dxa"/>
          <w:trHeight w:val="51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课程名称</w:t>
            </w:r>
          </w:p>
        </w:tc>
        <w:tc>
          <w:tcPr>
            <w:tcW w:w="10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主讲人</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28"/>
                <w:szCs w:val="28"/>
              </w:rPr>
            </w:pPr>
            <w:r>
              <w:rPr>
                <w:rFonts w:hint="eastAsia" w:ascii="黑体" w:hAnsi="黑体" w:eastAsia="黑体" w:cs="黑体"/>
                <w:color w:val="000000"/>
                <w:kern w:val="0"/>
                <w:sz w:val="28"/>
                <w:szCs w:val="28"/>
                <w:lang w:bidi="ar"/>
              </w:rPr>
              <w:t>单位与职务</w:t>
            </w:r>
          </w:p>
        </w:tc>
      </w:tr>
      <w:tr>
        <w:tblPrEx>
          <w:tblCellMar>
            <w:top w:w="0" w:type="dxa"/>
            <w:left w:w="108" w:type="dxa"/>
            <w:bottom w:w="0" w:type="dxa"/>
            <w:right w:w="108" w:type="dxa"/>
          </w:tblCellMar>
        </w:tblPrEx>
        <w:trPr>
          <w:gridBefore w:val="1"/>
          <w:wBefore w:w="264" w:type="dxa"/>
          <w:trHeight w:val="510" w:hRule="atLeast"/>
          <w:jc w:val="center"/>
        </w:trPr>
        <w:tc>
          <w:tcPr>
            <w:tcW w:w="972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（一）习近平新时代中国特色社会主义思想</w:t>
            </w:r>
          </w:p>
        </w:tc>
      </w:tr>
      <w:tr>
        <w:tblPrEx>
          <w:tblCellMar>
            <w:top w:w="0" w:type="dxa"/>
            <w:left w:w="108" w:type="dxa"/>
            <w:bottom w:w="0" w:type="dxa"/>
            <w:right w:w="108" w:type="dxa"/>
          </w:tblCellMar>
        </w:tblPrEx>
        <w:trPr>
          <w:gridBefore w:val="1"/>
          <w:wBefore w:w="264" w:type="dxa"/>
          <w:trHeight w:val="51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习近平新时代中国特色社会主义思想的理论魅力和实践伟力</w:t>
            </w:r>
          </w:p>
        </w:tc>
        <w:tc>
          <w:tcPr>
            <w:tcW w:w="10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王  文</w:t>
            </w:r>
          </w:p>
        </w:tc>
        <w:tc>
          <w:tcPr>
            <w:tcW w:w="448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中共中央党校（国家行政学院）研究室一级巡视员</w:t>
            </w:r>
          </w:p>
        </w:tc>
      </w:tr>
      <w:tr>
        <w:tblPrEx>
          <w:tblCellMar>
            <w:top w:w="0" w:type="dxa"/>
            <w:left w:w="108" w:type="dxa"/>
            <w:bottom w:w="0" w:type="dxa"/>
            <w:right w:w="108" w:type="dxa"/>
          </w:tblCellMar>
        </w:tblPrEx>
        <w:trPr>
          <w:gridBefore w:val="1"/>
          <w:wBefore w:w="264" w:type="dxa"/>
          <w:trHeight w:val="51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深入学习习近平总书记关于党的建设的重要思想——坚持以党的自我革命引领社会革命</w:t>
            </w:r>
          </w:p>
        </w:tc>
        <w:tc>
          <w:tcPr>
            <w:tcW w:w="10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刘靖北</w:t>
            </w:r>
          </w:p>
        </w:tc>
        <w:tc>
          <w:tcPr>
            <w:tcW w:w="448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中国浦东干部学院原副院长、教授</w:t>
            </w:r>
          </w:p>
        </w:tc>
      </w:tr>
      <w:tr>
        <w:tblPrEx>
          <w:tblCellMar>
            <w:top w:w="0" w:type="dxa"/>
            <w:left w:w="108" w:type="dxa"/>
            <w:bottom w:w="0" w:type="dxa"/>
            <w:right w:w="108" w:type="dxa"/>
          </w:tblCellMar>
        </w:tblPrEx>
        <w:trPr>
          <w:gridBefore w:val="1"/>
          <w:wBefore w:w="264" w:type="dxa"/>
          <w:trHeight w:val="51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中华文明的精神标识与文化精髓——学习习近平文化思想</w:t>
            </w:r>
          </w:p>
        </w:tc>
        <w:tc>
          <w:tcPr>
            <w:tcW w:w="10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陆卫明</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西安交通大学教授</w:t>
            </w:r>
          </w:p>
        </w:tc>
      </w:tr>
      <w:tr>
        <w:tblPrEx>
          <w:tblCellMar>
            <w:top w:w="0" w:type="dxa"/>
            <w:left w:w="108" w:type="dxa"/>
            <w:bottom w:w="0" w:type="dxa"/>
            <w:right w:w="108" w:type="dxa"/>
          </w:tblCellMar>
        </w:tblPrEx>
        <w:trPr>
          <w:gridBefore w:val="1"/>
          <w:wBefore w:w="264" w:type="dxa"/>
          <w:trHeight w:val="913"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习近平总书记关于党的自我革命的重要思想的主要渊源</w:t>
            </w:r>
          </w:p>
        </w:tc>
        <w:tc>
          <w:tcPr>
            <w:tcW w:w="10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孙大伟</w:t>
            </w:r>
          </w:p>
        </w:tc>
        <w:tc>
          <w:tcPr>
            <w:tcW w:w="448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中国社会科学院中国廉政研究中心副秘书长</w:t>
            </w:r>
          </w:p>
        </w:tc>
      </w:tr>
      <w:tr>
        <w:tblPrEx>
          <w:tblCellMar>
            <w:top w:w="0" w:type="dxa"/>
            <w:left w:w="108" w:type="dxa"/>
            <w:bottom w:w="0" w:type="dxa"/>
            <w:right w:w="108" w:type="dxa"/>
          </w:tblCellMar>
        </w:tblPrEx>
        <w:trPr>
          <w:gridBefore w:val="1"/>
          <w:wBefore w:w="264" w:type="dxa"/>
          <w:trHeight w:val="51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党的领导确保锚定中国式现代化奋斗目标行稳致远</w:t>
            </w:r>
          </w:p>
        </w:tc>
        <w:tc>
          <w:tcPr>
            <w:tcW w:w="10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贺新元</w:t>
            </w:r>
          </w:p>
        </w:tc>
        <w:tc>
          <w:tcPr>
            <w:tcW w:w="448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中国社会科学院马克思主义研究院马克思主义中国化研究部副主任，研究员</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从习近平新时代中国特色社会主义思想中汲取智慧熟练掌握其中蕴含的思想方法、工作方法</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pPr>
            <w:r>
              <w:rPr>
                <w:rFonts w:hint="eastAsia" w:ascii="仿宋_GB2312" w:hAnsi="仿宋_GB2312" w:eastAsia="仿宋_GB2312" w:cs="仿宋_GB2312"/>
                <w:color w:val="000000"/>
                <w:kern w:val="0"/>
                <w:sz w:val="24"/>
                <w:lang w:bidi="ar"/>
              </w:rPr>
              <w:t>焦佩锋</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pPr>
            <w:r>
              <w:rPr>
                <w:rFonts w:hint="eastAsia" w:ascii="仿宋_GB2312" w:hAnsi="仿宋_GB2312" w:eastAsia="仿宋_GB2312" w:cs="仿宋_GB2312"/>
                <w:color w:val="000000"/>
                <w:kern w:val="0"/>
                <w:sz w:val="24"/>
                <w:lang w:bidi="ar"/>
              </w:rPr>
              <w:t>中共中央党校（国家行政学院）教授</w:t>
            </w:r>
          </w:p>
        </w:tc>
      </w:tr>
      <w:tr>
        <w:tblPrEx>
          <w:tblCellMar>
            <w:top w:w="0" w:type="dxa"/>
            <w:left w:w="108" w:type="dxa"/>
            <w:bottom w:w="0" w:type="dxa"/>
            <w:right w:w="108" w:type="dxa"/>
          </w:tblCellMar>
        </w:tblPrEx>
        <w:trPr>
          <w:gridBefore w:val="1"/>
          <w:wBefore w:w="264" w:type="dxa"/>
          <w:trHeight w:val="600" w:hRule="atLeast"/>
          <w:jc w:val="center"/>
        </w:trPr>
        <w:tc>
          <w:tcPr>
            <w:tcW w:w="972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（二）关注形势政策和国家发展</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宪法的作用、特征和精神</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陈  征</w:t>
            </w:r>
          </w:p>
        </w:tc>
        <w:tc>
          <w:tcPr>
            <w:tcW w:w="448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中国政法大学教授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严峻复杂的国际环境与我国的战略选择</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于洪君</w:t>
            </w:r>
          </w:p>
        </w:tc>
        <w:tc>
          <w:tcPr>
            <w:tcW w:w="448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中共中央对外联络部原副部长</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理解新媒体：网络新媒体的基本特质</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刘  俊</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中国传媒大学传媒艺术与文化研究中心副主任，教授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“多元一体”的中华民族与当代中国的民族宗教政策</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pPr>
            <w:r>
              <w:rPr>
                <w:rFonts w:hint="eastAsia" w:ascii="仿宋_GB2312" w:hAnsi="仿宋_GB2312" w:eastAsia="仿宋_GB2312" w:cs="仿宋_GB2312"/>
                <w:color w:val="000000"/>
                <w:kern w:val="0"/>
                <w:sz w:val="24"/>
                <w:lang w:bidi="ar"/>
              </w:rPr>
              <w:t>马方方</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pPr>
            <w:r>
              <w:rPr>
                <w:rFonts w:hint="eastAsia" w:ascii="仿宋_GB2312" w:hAnsi="仿宋_GB2312" w:eastAsia="仿宋_GB2312" w:cs="仿宋_GB2312"/>
                <w:color w:val="000000"/>
                <w:kern w:val="0"/>
                <w:sz w:val="24"/>
                <w:lang w:bidi="ar"/>
              </w:rPr>
              <w:t>北京语言大学国际关系学院副院长、教授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480" w:lineRule="exact"/>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以筑牢中华民族共同体意识为主线，做好新时代党的民族工作</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吴孝刚</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中共中央党校（国家行政学院）教授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党领导人民成功开创、推进和拓展了中国式现代化</w:t>
            </w:r>
          </w:p>
        </w:tc>
        <w:tc>
          <w:tcPr>
            <w:tcW w:w="10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贺新元</w:t>
            </w:r>
          </w:p>
        </w:tc>
        <w:tc>
          <w:tcPr>
            <w:tcW w:w="448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中国社会科学院马克思主义研究院马克思主义中国化研究部副主任，研究员</w:t>
            </w:r>
          </w:p>
        </w:tc>
      </w:tr>
      <w:tr>
        <w:tblPrEx>
          <w:tblCellMar>
            <w:top w:w="0" w:type="dxa"/>
            <w:left w:w="108" w:type="dxa"/>
            <w:bottom w:w="0" w:type="dxa"/>
            <w:right w:w="108" w:type="dxa"/>
          </w:tblCellMar>
        </w:tblPrEx>
        <w:trPr>
          <w:gridBefore w:val="1"/>
          <w:wBefore w:w="264" w:type="dxa"/>
          <w:trHeight w:val="600" w:hRule="atLeast"/>
          <w:jc w:val="center"/>
        </w:trPr>
        <w:tc>
          <w:tcPr>
            <w:tcW w:w="972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kern w:val="0"/>
                <w:sz w:val="24"/>
                <w:lang w:bidi="ar"/>
              </w:rPr>
              <w:t>（三）学习党史和党章党规</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音乐党课 辉煌钜献</w:t>
            </w:r>
          </w:p>
        </w:tc>
        <w:tc>
          <w:tcPr>
            <w:tcW w:w="10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俞  峰</w:t>
            </w:r>
          </w:p>
        </w:tc>
        <w:tc>
          <w:tcPr>
            <w:tcW w:w="448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中央音乐学院院长、党委副书记</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《中央党内法规制定工作规划纲要（2023－2027年）》解读</w:t>
            </w:r>
          </w:p>
        </w:tc>
        <w:tc>
          <w:tcPr>
            <w:tcW w:w="10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柴宝勇</w:t>
            </w:r>
          </w:p>
        </w:tc>
        <w:tc>
          <w:tcPr>
            <w:tcW w:w="4484"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中国社会科学院大学教授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学习二十大党章，严格贯彻党章</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pPr>
            <w:r>
              <w:rPr>
                <w:rFonts w:hint="eastAsia" w:ascii="仿宋_GB2312" w:hAnsi="仿宋_GB2312" w:eastAsia="仿宋_GB2312" w:cs="仿宋_GB2312"/>
                <w:color w:val="000000"/>
                <w:kern w:val="0"/>
                <w:sz w:val="24"/>
                <w:lang w:bidi="ar"/>
              </w:rPr>
              <w:t>曹鹏飞</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pPr>
            <w:r>
              <w:rPr>
                <w:rFonts w:hint="eastAsia" w:ascii="仿宋_GB2312" w:hAnsi="仿宋_GB2312" w:eastAsia="仿宋_GB2312" w:cs="仿宋_GB2312"/>
                <w:color w:val="000000"/>
                <w:kern w:val="0"/>
                <w:sz w:val="24"/>
                <w:lang w:bidi="ar"/>
              </w:rPr>
              <w:t>中共中央党校（国家行政学院）教授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党的领导凝聚建设中国式现代化的磅礴力量</w:t>
            </w:r>
          </w:p>
        </w:tc>
        <w:tc>
          <w:tcPr>
            <w:tcW w:w="10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贺新元</w:t>
            </w:r>
          </w:p>
        </w:tc>
        <w:tc>
          <w:tcPr>
            <w:tcW w:w="448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中国社会科学院马克思主义研究院马克思主义中国化研究部副主任，研究员</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党的领导决定中国式现代化的根本性质</w:t>
            </w:r>
          </w:p>
        </w:tc>
        <w:tc>
          <w:tcPr>
            <w:tcW w:w="10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p>
        </w:tc>
        <w:tc>
          <w:tcPr>
            <w:tcW w:w="44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p>
        </w:tc>
      </w:tr>
      <w:tr>
        <w:tblPrEx>
          <w:tblCellMar>
            <w:top w:w="0" w:type="dxa"/>
            <w:left w:w="108" w:type="dxa"/>
            <w:bottom w:w="0" w:type="dxa"/>
            <w:right w:w="108" w:type="dxa"/>
          </w:tblCellMar>
        </w:tblPrEx>
        <w:trPr>
          <w:gridBefore w:val="1"/>
          <w:wBefore w:w="264" w:type="dxa"/>
          <w:trHeight w:val="600" w:hRule="atLeast"/>
          <w:jc w:val="center"/>
        </w:trPr>
        <w:tc>
          <w:tcPr>
            <w:tcW w:w="972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（四）严格遵守党的纪律</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修订《中国共产党纪律处分条例》的背景</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柴宝勇</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中国社会科学院大学教授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新修订的《中国共产党纪律处分条例》：新旧对比解读</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傅思明</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中共中央党校（国家行政学院）教授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中国共产党党员的要求</w:t>
            </w:r>
          </w:p>
        </w:tc>
        <w:tc>
          <w:tcPr>
            <w:tcW w:w="10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pPr>
            <w:r>
              <w:rPr>
                <w:rFonts w:hint="eastAsia" w:ascii="仿宋_GB2312" w:hAnsi="仿宋_GB2312" w:eastAsia="仿宋_GB2312" w:cs="仿宋_GB2312"/>
                <w:color w:val="000000"/>
                <w:kern w:val="0"/>
                <w:sz w:val="24"/>
                <w:lang w:bidi="ar"/>
              </w:rPr>
              <w:t>高  超</w:t>
            </w:r>
          </w:p>
        </w:tc>
        <w:tc>
          <w:tcPr>
            <w:tcW w:w="448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pPr>
            <w:r>
              <w:rPr>
                <w:rFonts w:hint="eastAsia" w:ascii="仿宋_GB2312" w:hAnsi="仿宋_GB2312" w:eastAsia="仿宋_GB2312" w:cs="仿宋_GB2312"/>
                <w:color w:val="000000"/>
                <w:kern w:val="0"/>
                <w:sz w:val="24"/>
                <w:lang w:bidi="ar"/>
              </w:rPr>
              <w:t>北京师范大学马克思主义学院党委副书记</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坚持中国共产党的领导</w:t>
            </w:r>
          </w:p>
        </w:tc>
        <w:tc>
          <w:tcPr>
            <w:tcW w:w="10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kern w:val="0"/>
                <w:sz w:val="24"/>
                <w:lang w:bidi="ar"/>
              </w:rPr>
            </w:pPr>
          </w:p>
        </w:tc>
        <w:tc>
          <w:tcPr>
            <w:tcW w:w="44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党的政治建设是党的根本性建设</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曹鹏飞 </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中共中央党校（国家行政学院）教授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坚定理想信念：永远听党话跟党走</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王高银</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原北京军区全军英雄模范代表</w:t>
            </w:r>
          </w:p>
        </w:tc>
      </w:tr>
      <w:tr>
        <w:tblPrEx>
          <w:tblCellMar>
            <w:top w:w="0" w:type="dxa"/>
            <w:left w:w="108" w:type="dxa"/>
            <w:bottom w:w="0" w:type="dxa"/>
            <w:right w:w="108" w:type="dxa"/>
          </w:tblCellMar>
        </w:tblPrEx>
        <w:trPr>
          <w:gridBefore w:val="1"/>
          <w:wBefore w:w="264" w:type="dxa"/>
          <w:trHeight w:val="600" w:hRule="atLeast"/>
          <w:jc w:val="center"/>
        </w:trPr>
        <w:tc>
          <w:tcPr>
            <w:tcW w:w="972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kern w:val="0"/>
                <w:sz w:val="24"/>
                <w:lang w:bidi="ar"/>
              </w:rPr>
              <w:t>（五）发展对象的确定和考察</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确定发展对象</w:t>
            </w:r>
          </w:p>
        </w:tc>
        <w:tc>
          <w:tcPr>
            <w:tcW w:w="1044"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梁  静</w:t>
            </w:r>
          </w:p>
        </w:tc>
        <w:tc>
          <w:tcPr>
            <w:tcW w:w="4484" w:type="dxa"/>
            <w:gridSpan w:val="3"/>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清华大学党委组织部副部长</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报上级党委备案</w:t>
            </w:r>
          </w:p>
        </w:tc>
        <w:tc>
          <w:tcPr>
            <w:tcW w:w="10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pPr>
          </w:p>
        </w:tc>
        <w:tc>
          <w:tcPr>
            <w:tcW w:w="44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pP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确定入党介绍人</w:t>
            </w:r>
          </w:p>
        </w:tc>
        <w:tc>
          <w:tcPr>
            <w:tcW w:w="10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仿宋_GB2312" w:hAnsi="仿宋_GB2312" w:eastAsia="仿宋_GB2312" w:cs="仿宋_GB2312"/>
                <w:color w:val="000000"/>
                <w:kern w:val="0"/>
                <w:sz w:val="24"/>
                <w:lang w:bidi="ar"/>
              </w:rPr>
            </w:pPr>
          </w:p>
        </w:tc>
        <w:tc>
          <w:tcPr>
            <w:tcW w:w="44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rPr>
                <w:rFonts w:ascii="仿宋_GB2312" w:hAnsi="仿宋_GB2312" w:eastAsia="仿宋_GB2312" w:cs="仿宋_GB2312"/>
                <w:color w:val="000000"/>
                <w:kern w:val="0"/>
                <w:sz w:val="24"/>
                <w:lang w:bidi="ar"/>
              </w:rPr>
            </w:pP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进行政治审查</w:t>
            </w:r>
          </w:p>
        </w:tc>
        <w:tc>
          <w:tcPr>
            <w:tcW w:w="10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仿宋_GB2312" w:hAnsi="仿宋_GB2312" w:eastAsia="仿宋_GB2312" w:cs="仿宋_GB2312"/>
                <w:color w:val="000000"/>
                <w:sz w:val="24"/>
              </w:rPr>
            </w:pPr>
          </w:p>
        </w:tc>
        <w:tc>
          <w:tcPr>
            <w:tcW w:w="44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开展集中培训</w:t>
            </w:r>
          </w:p>
        </w:tc>
        <w:tc>
          <w:tcPr>
            <w:tcW w:w="10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rPr>
                <w:rFonts w:ascii="仿宋_GB2312" w:hAnsi="仿宋_GB2312" w:eastAsia="仿宋_GB2312" w:cs="仿宋_GB2312"/>
                <w:color w:val="000000"/>
                <w:sz w:val="24"/>
              </w:rPr>
            </w:pPr>
          </w:p>
        </w:tc>
        <w:tc>
          <w:tcPr>
            <w:tcW w:w="44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rPr>
                <w:rFonts w:ascii="仿宋_GB2312" w:hAnsi="仿宋_GB2312" w:eastAsia="仿宋_GB2312" w:cs="仿宋_GB2312"/>
                <w:color w:val="000000"/>
                <w:sz w:val="24"/>
              </w:rPr>
            </w:pPr>
          </w:p>
        </w:tc>
      </w:tr>
      <w:tr>
        <w:tblPrEx>
          <w:tblCellMar>
            <w:top w:w="0" w:type="dxa"/>
            <w:left w:w="108" w:type="dxa"/>
            <w:bottom w:w="0" w:type="dxa"/>
            <w:right w:w="108" w:type="dxa"/>
          </w:tblCellMar>
        </w:tblPrEx>
        <w:trPr>
          <w:gridBefore w:val="1"/>
          <w:wBefore w:w="264" w:type="dxa"/>
          <w:trHeight w:val="600" w:hRule="atLeast"/>
          <w:jc w:val="center"/>
        </w:trPr>
        <w:tc>
          <w:tcPr>
            <w:tcW w:w="972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（六）弘扬爱国主义，坚定理想信念</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《中华人民共和国爱国主义教育法》解读</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马振清</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北京师范大学教授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习近平总书记《新时代中国共产党的历史使命》学习辅导</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 邓纯东</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中国社会科学院大学马克思主义研究院原党委书记、院长</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中华优秀传统文化的精神价值</w:t>
            </w:r>
          </w:p>
        </w:tc>
        <w:tc>
          <w:tcPr>
            <w:tcW w:w="10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李宗桂</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中山大学哲学系教授</w:t>
            </w:r>
          </w:p>
        </w:tc>
      </w:tr>
      <w:tr>
        <w:tblPrEx>
          <w:tblCellMar>
            <w:top w:w="0" w:type="dxa"/>
            <w:left w:w="108" w:type="dxa"/>
            <w:bottom w:w="0" w:type="dxa"/>
            <w:right w:w="108" w:type="dxa"/>
          </w:tblCellMar>
        </w:tblPrEx>
        <w:trPr>
          <w:gridBefore w:val="1"/>
          <w:wBefore w:w="264" w:type="dxa"/>
          <w:trHeight w:val="600" w:hRule="atLeast"/>
          <w:jc w:val="center"/>
        </w:trPr>
        <w:tc>
          <w:tcPr>
            <w:tcW w:w="41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延安精神及其时代价值</w:t>
            </w:r>
          </w:p>
        </w:tc>
        <w:tc>
          <w:tcPr>
            <w:tcW w:w="10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常改香</w:t>
            </w:r>
          </w:p>
        </w:tc>
        <w:tc>
          <w:tcPr>
            <w:tcW w:w="44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延安大学政法与公共管理学院副院长</w:t>
            </w:r>
          </w:p>
        </w:tc>
      </w:tr>
      <w:tr>
        <w:tblPrEx>
          <w:tblCellMar>
            <w:top w:w="0" w:type="dxa"/>
            <w:left w:w="108" w:type="dxa"/>
            <w:bottom w:w="0" w:type="dxa"/>
            <w:right w:w="108" w:type="dxa"/>
          </w:tblCellMar>
        </w:tblPrEx>
        <w:trPr>
          <w:gridAfter w:val="1"/>
          <w:wAfter w:w="264" w:type="dxa"/>
          <w:trHeight w:val="680" w:hRule="atLeast"/>
          <w:jc w:val="center"/>
        </w:trPr>
        <w:tc>
          <w:tcPr>
            <w:tcW w:w="972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（七）学习榜样事迹，做新时代有为青年</w:t>
            </w:r>
          </w:p>
        </w:tc>
      </w:tr>
      <w:tr>
        <w:tblPrEx>
          <w:tblCellMar>
            <w:top w:w="0" w:type="dxa"/>
            <w:left w:w="108" w:type="dxa"/>
            <w:bottom w:w="0" w:type="dxa"/>
            <w:right w:w="108" w:type="dxa"/>
          </w:tblCellMar>
        </w:tblPrEx>
        <w:trPr>
          <w:gridAfter w:val="1"/>
          <w:wAfter w:w="264" w:type="dxa"/>
          <w:trHeight w:val="680" w:hRule="atLeast"/>
          <w:jc w:val="center"/>
        </w:trPr>
        <w:tc>
          <w:tcPr>
            <w:tcW w:w="50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潜心抗震研究 践行初心使命</w:t>
            </w:r>
          </w:p>
        </w:tc>
        <w:tc>
          <w:tcPr>
            <w:tcW w:w="10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谢行思</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8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第二批全国高校“百名研究生党员标兵”，北京交通大学教师</w:t>
            </w:r>
          </w:p>
        </w:tc>
      </w:tr>
      <w:tr>
        <w:tblPrEx>
          <w:tblCellMar>
            <w:top w:w="0" w:type="dxa"/>
            <w:left w:w="108" w:type="dxa"/>
            <w:bottom w:w="0" w:type="dxa"/>
            <w:right w:w="108" w:type="dxa"/>
          </w:tblCellMar>
        </w:tblPrEx>
        <w:trPr>
          <w:gridAfter w:val="1"/>
          <w:wAfter w:w="264" w:type="dxa"/>
          <w:trHeight w:val="680" w:hRule="atLeast"/>
          <w:jc w:val="center"/>
        </w:trPr>
        <w:tc>
          <w:tcPr>
            <w:tcW w:w="50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让青春在志愿一线绽放绚丽之花</w:t>
            </w:r>
          </w:p>
        </w:tc>
        <w:tc>
          <w:tcPr>
            <w:tcW w:w="10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谢小玉</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北京高校优秀共产党员，中国矿业大学（北京）学生</w:t>
            </w:r>
          </w:p>
        </w:tc>
      </w:tr>
      <w:tr>
        <w:tblPrEx>
          <w:tblCellMar>
            <w:top w:w="0" w:type="dxa"/>
            <w:left w:w="108" w:type="dxa"/>
            <w:bottom w:w="0" w:type="dxa"/>
            <w:right w:w="108" w:type="dxa"/>
          </w:tblCellMar>
        </w:tblPrEx>
        <w:trPr>
          <w:gridAfter w:val="1"/>
          <w:wAfter w:w="264" w:type="dxa"/>
          <w:trHeight w:val="680" w:hRule="atLeast"/>
          <w:jc w:val="center"/>
        </w:trPr>
        <w:tc>
          <w:tcPr>
            <w:tcW w:w="50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把青春融进祖国的山河</w:t>
            </w:r>
          </w:p>
        </w:tc>
        <w:tc>
          <w:tcPr>
            <w:tcW w:w="1018"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朱倚岑</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北京高校优秀共产党员，中央财经大学博士研究生</w:t>
            </w:r>
          </w:p>
        </w:tc>
      </w:tr>
      <w:tr>
        <w:tblPrEx>
          <w:tblCellMar>
            <w:top w:w="0" w:type="dxa"/>
            <w:left w:w="108" w:type="dxa"/>
            <w:bottom w:w="0" w:type="dxa"/>
            <w:right w:w="108" w:type="dxa"/>
          </w:tblCellMar>
        </w:tblPrEx>
        <w:trPr>
          <w:gridAfter w:val="1"/>
          <w:wAfter w:w="264" w:type="dxa"/>
          <w:trHeight w:val="680" w:hRule="atLeast"/>
          <w:jc w:val="center"/>
        </w:trPr>
        <w:tc>
          <w:tcPr>
            <w:tcW w:w="50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坚守所爱 绽放“花火”</w:t>
            </w:r>
          </w:p>
        </w:tc>
        <w:tc>
          <w:tcPr>
            <w:tcW w:w="10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陆亦炜</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2022年度“全国最美大学生”，上海应用技术大学学生</w:t>
            </w:r>
          </w:p>
        </w:tc>
      </w:tr>
    </w:tbl>
    <w:p>
      <w:r>
        <w:rPr>
          <w:rFonts w:hint="eastAsia" w:ascii="仿宋_GB2312" w:hAnsi="仿宋_GB2312" w:eastAsia="仿宋_GB2312" w:cs="仿宋_GB2312"/>
          <w:b w:val="0"/>
          <w:bCs w:val="0"/>
          <w:color w:val="000000"/>
          <w:sz w:val="28"/>
          <w:szCs w:val="28"/>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7F1A9D-4003-4DC0-ACE3-14E96D88B1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06BA64C-2B17-40C9-A6C3-30A76522B8E7}"/>
  </w:font>
  <w:font w:name="方正小标宋简体">
    <w:panose1 w:val="02000000000000000000"/>
    <w:charset w:val="86"/>
    <w:family w:val="script"/>
    <w:pitch w:val="default"/>
    <w:sig w:usb0="00000001" w:usb1="08000000" w:usb2="00000000" w:usb3="00000000" w:csb0="00040000" w:csb1="00000000"/>
    <w:embedRegular r:id="rId3" w:fontKey="{5183DFA9-E34B-49FF-9870-D6DDEACF8767}"/>
  </w:font>
  <w:font w:name="方正小标宋_GBK">
    <w:altName w:val="微软雅黑"/>
    <w:panose1 w:val="02000000000000000000"/>
    <w:charset w:val="86"/>
    <w:family w:val="auto"/>
    <w:pitch w:val="default"/>
    <w:sig w:usb0="00000000" w:usb1="00000000" w:usb2="00082016" w:usb3="00000000" w:csb0="00040001" w:csb1="00000000"/>
    <w:embedRegular r:id="rId4" w:fontKey="{AA478669-0C9E-46DB-9889-31CC650BE8B6}"/>
  </w:font>
  <w:font w:name="仿宋_GB2312">
    <w:panose1 w:val="02010609030101010101"/>
    <w:charset w:val="86"/>
    <w:family w:val="modern"/>
    <w:pitch w:val="default"/>
    <w:sig w:usb0="00000001" w:usb1="080E0000" w:usb2="00000000" w:usb3="00000000" w:csb0="00040000" w:csb1="00000000"/>
    <w:embedRegular r:id="rId5" w:fontKey="{B2D9C7D4-C00C-4111-B8BD-6FFC79524E6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58476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2024-04-28T01:20:18Z</dcterms:created>
  <dc:creator>Administrator</dc:creator>
  <cp:lastModifiedBy>一叶编舟</cp:lastModifiedBy>
  <dcterms:modified xsi:type="dcterms:W3CDTF">2024-04-28T01:20:51Z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E6E2DFF1828D438DB768412E10625B10_12</vt:lpwstr>
  </property>
</Properties>
</file>